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Date:</w:t>
        <w:tab/>
        <w:tab/>
        <w:tab/>
        <w:tab/>
        <w:t>April 12, 1999</w:t>
      </w:r>
    </w:p>
    <w:p>
      <w:pPr>
        <w:pStyle w:val="Normal"/>
        <w:widowControl/>
        <w:rPr>
          <w:sz w:val="22"/>
          <w:u w:val="single"/>
        </w:rPr>
      </w:pPr>
      <w:r>
        <w:rPr>
          <w:sz w:val="22"/>
          <w:u w:val="single"/>
        </w:rPr>
      </w:r>
    </w:p>
    <w:p>
      <w:pPr>
        <w:pStyle w:val="Normal"/>
        <w:widowControl/>
        <w:rPr>
          <w:sz w:val="22"/>
        </w:rPr>
      </w:pPr>
      <w:r>
        <w:rPr>
          <w:sz w:val="22"/>
        </w:rPr>
        <w:t>To:</w:t>
        <w:tab/>
        <w:tab/>
        <w:tab/>
        <w:tab/>
        <w:t>The Procter &amp; Gamble Company (“Party B”)</w:t>
      </w:r>
    </w:p>
    <w:p>
      <w:pPr>
        <w:pStyle w:val="Normal"/>
        <w:widowControl/>
        <w:rPr>
          <w:sz w:val="22"/>
        </w:rPr>
      </w:pPr>
      <w:r>
        <w:rPr>
          <w:sz w:val="22"/>
        </w:rPr>
      </w:r>
    </w:p>
    <w:p>
      <w:pPr>
        <w:pStyle w:val="Normal"/>
        <w:widowControl/>
        <w:rPr>
          <w:sz w:val="22"/>
        </w:rPr>
      </w:pPr>
      <w:r>
        <w:rPr>
          <w:sz w:val="22"/>
        </w:rPr>
        <w:t xml:space="preserve">Attention: </w:t>
        <w:tab/>
        <w:tab/>
        <w:tab/>
        <w:t>Mr. Edward C. Schults</w:t>
      </w:r>
    </w:p>
    <w:p>
      <w:pPr>
        <w:pStyle w:val="Normal"/>
        <w:widowControl/>
        <w:rPr>
          <w:sz w:val="22"/>
        </w:rPr>
      </w:pPr>
      <w:r>
        <w:rPr>
          <w:sz w:val="22"/>
        </w:rPr>
      </w:r>
    </w:p>
    <w:p>
      <w:pPr>
        <w:pStyle w:val="Normal"/>
        <w:widowControl/>
        <w:rPr>
          <w:sz w:val="22"/>
        </w:rPr>
      </w:pPr>
      <w:r>
        <w:rPr>
          <w:sz w:val="22"/>
        </w:rPr>
        <w:t>Fax Number:</w:t>
        <w:tab/>
        <w:tab/>
        <w:tab/>
        <w:t>513-634-3500</w:t>
      </w:r>
    </w:p>
    <w:p>
      <w:pPr>
        <w:pStyle w:val="Normal"/>
        <w:widowControl/>
        <w:rPr>
          <w:sz w:val="22"/>
        </w:rPr>
      </w:pPr>
      <w:r>
        <w:rPr>
          <w:sz w:val="22"/>
        </w:rPr>
      </w:r>
    </w:p>
    <w:p>
      <w:pPr>
        <w:pStyle w:val="Normal"/>
        <w:widowControl/>
        <w:rPr>
          <w:sz w:val="22"/>
        </w:rPr>
      </w:pPr>
      <w:r>
        <w:rPr>
          <w:sz w:val="22"/>
        </w:rPr>
        <w:t>From:</w:t>
        <w:tab/>
        <w:tab/>
        <w:tab/>
        <w:tab/>
        <w:t>Enron Capital &amp; Trade Resources Corp. (“Party A”)</w:t>
      </w:r>
    </w:p>
    <w:p>
      <w:pPr>
        <w:pStyle w:val="Normal"/>
        <w:widowControl/>
        <w:rPr>
          <w:sz w:val="22"/>
        </w:rPr>
      </w:pPr>
      <w:r>
        <w:rPr>
          <w:sz w:val="22"/>
        </w:rPr>
      </w:r>
    </w:p>
    <w:p>
      <w:pPr>
        <w:pStyle w:val="Normal"/>
        <w:widowControl/>
        <w:rPr>
          <w:sz w:val="22"/>
        </w:rPr>
      </w:pPr>
      <w:r>
        <w:rPr>
          <w:sz w:val="22"/>
        </w:rPr>
        <w:t>Re:</w:t>
        <w:tab/>
        <w:tab/>
        <w:tab/>
        <w:tab/>
        <w:t>Commodity Swaption, ECT Deal No. _______</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the ISDA Master Agreement dated as of [DATE],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
          <w:i/>
          <w:sz w:val="22"/>
        </w:rPr>
      </w:pPr>
      <w:r>
        <w:rPr>
          <w:sz w:val="22"/>
        </w:rPr>
        <w:tab/>
        <w:t>2. For and in consideration of $1.00 and other good and valuable consideration, the receipt and sufficiency of which are hereby acknowledged, the parties agree that the terms of the particular Transaction to which this Confirmation relates are as follows:</w:t>
      </w:r>
    </w:p>
    <w:p>
      <w:pPr>
        <w:pStyle w:val="Normal"/>
        <w:widowControl/>
        <w:jc w:val="both"/>
        <w:rPr>
          <w:i/>
          <w:i/>
          <w:sz w:val="22"/>
        </w:rPr>
      </w:pPr>
      <w:r>
        <w:rPr>
          <w:i/>
          <w:sz w:val="22"/>
        </w:rPr>
      </w:r>
    </w:p>
    <w:p>
      <w:pPr>
        <w:pStyle w:val="Normal"/>
        <w:widowControl/>
        <w:rPr>
          <w:sz w:val="22"/>
        </w:rPr>
      </w:pPr>
      <w:r>
        <w:rPr>
          <w:b/>
          <w:sz w:val="22"/>
        </w:rPr>
        <w:t>General Terms for Swaption:</w:t>
      </w:r>
    </w:p>
    <w:p>
      <w:pPr>
        <w:pStyle w:val="Normal"/>
        <w:widowControl/>
        <w:rPr>
          <w:sz w:val="22"/>
        </w:rPr>
      </w:pPr>
      <w:r>
        <w:rPr>
          <w:sz w:val="22"/>
        </w:rPr>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rPr>
                <w:sz w:val="22"/>
              </w:rPr>
            </w:pPr>
            <w:r>
              <w:rPr>
                <w:sz w:val="22"/>
              </w:rPr>
              <w:t>Trade Date:</w:t>
            </w:r>
          </w:p>
        </w:tc>
        <w:tc>
          <w:tcPr>
            <w:tcW w:w="4788" w:type="dxa"/>
            <w:tcBorders/>
          </w:tcPr>
          <w:p>
            <w:pPr>
              <w:pStyle w:val="Normal"/>
              <w:widowControl/>
              <w:rPr>
                <w:sz w:val="22"/>
              </w:rPr>
            </w:pPr>
            <w:r>
              <w:rPr>
                <w:b/>
                <w:sz w:val="22"/>
              </w:rPr>
              <w:t>[to be agreed]</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rPr>
                <w:sz w:val="22"/>
              </w:rPr>
            </w:pPr>
            <w:r>
              <w:rPr>
                <w:sz w:val="22"/>
              </w:rPr>
              <w:t>Option Style:</w:t>
            </w:r>
          </w:p>
        </w:tc>
        <w:tc>
          <w:tcPr>
            <w:tcW w:w="4788" w:type="dxa"/>
            <w:tcBorders/>
          </w:tcPr>
          <w:p>
            <w:pPr>
              <w:pStyle w:val="Normal"/>
              <w:widowControl/>
              <w:rPr>
                <w:sz w:val="22"/>
              </w:rPr>
            </w:pPr>
            <w:r>
              <w:rPr>
                <w:sz w:val="22"/>
              </w:rPr>
              <w:t>American</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rPr>
                <w:sz w:val="22"/>
              </w:rPr>
            </w:pPr>
            <w:r>
              <w:rPr>
                <w:sz w:val="22"/>
              </w:rPr>
              <w:t>Option Type:</w:t>
            </w:r>
          </w:p>
        </w:tc>
        <w:tc>
          <w:tcPr>
            <w:tcW w:w="4788" w:type="dxa"/>
            <w:tcBorders/>
          </w:tcPr>
          <w:p>
            <w:pPr>
              <w:pStyle w:val="Normal"/>
              <w:widowControl/>
              <w:rPr>
                <w:sz w:val="22"/>
              </w:rPr>
            </w:pPr>
            <w:r>
              <w:rPr>
                <w:sz w:val="22"/>
              </w:rPr>
              <w:t xml:space="preserve">Put Swaption </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rPr>
                <w:sz w:val="22"/>
              </w:rPr>
            </w:pPr>
            <w:r>
              <w:rPr>
                <w:sz w:val="22"/>
              </w:rPr>
              <w:t>Buyer:</w:t>
            </w:r>
          </w:p>
        </w:tc>
        <w:tc>
          <w:tcPr>
            <w:tcW w:w="4788" w:type="dxa"/>
            <w:tcBorders/>
          </w:tcPr>
          <w:p>
            <w:pPr>
              <w:pStyle w:val="Normal"/>
              <w:widowControl/>
              <w:rPr>
                <w:sz w:val="22"/>
              </w:rPr>
            </w:pPr>
            <w:r>
              <w:rPr>
                <w:sz w:val="22"/>
              </w:rPr>
              <w:t>Party A</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rPr>
                <w:sz w:val="22"/>
              </w:rPr>
            </w:pPr>
            <w:r>
              <w:rPr>
                <w:sz w:val="22"/>
              </w:rPr>
              <w:t>Seller:</w:t>
            </w:r>
          </w:p>
        </w:tc>
        <w:tc>
          <w:tcPr>
            <w:tcW w:w="4788" w:type="dxa"/>
            <w:tcBorders/>
          </w:tcPr>
          <w:p>
            <w:pPr>
              <w:pStyle w:val="Normal"/>
              <w:widowControl/>
              <w:rPr>
                <w:sz w:val="22"/>
              </w:rPr>
            </w:pPr>
            <w:r>
              <w:rPr>
                <w:sz w:val="22"/>
              </w:rPr>
              <w:t>Party B</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rPr>
                <w:sz w:val="22"/>
              </w:rPr>
            </w:pPr>
            <w:r>
              <w:rPr>
                <w:sz w:val="22"/>
              </w:rPr>
              <w:t>Contract Settlement:</w:t>
            </w:r>
          </w:p>
        </w:tc>
        <w:tc>
          <w:tcPr>
            <w:tcW w:w="4788" w:type="dxa"/>
            <w:tcBorders/>
          </w:tcPr>
          <w:p>
            <w:pPr>
              <w:pStyle w:val="Normal"/>
              <w:widowControl/>
              <w:rPr>
                <w:sz w:val="22"/>
              </w:rPr>
            </w:pPr>
            <w:r>
              <w:rPr>
                <w:sz w:val="22"/>
              </w:rPr>
              <w:t>Applicable</w:t>
            </w:r>
          </w:p>
        </w:tc>
      </w:tr>
    </w:tbl>
    <w:p>
      <w:pPr>
        <w:pStyle w:val="Normal"/>
        <w:widowControl/>
        <w:tabs>
          <w:tab w:val="left" w:pos="720" w:leader="none"/>
        </w:tabs>
        <w:rPr>
          <w:sz w:val="22"/>
        </w:rPr>
      </w:pPr>
      <w:r>
        <w:rPr>
          <w:sz w:val="22"/>
        </w:rPr>
      </w:r>
    </w:p>
    <w:p>
      <w:pPr>
        <w:pStyle w:val="Normal"/>
        <w:widowControl/>
        <w:rPr>
          <w:sz w:val="22"/>
        </w:rPr>
      </w:pPr>
      <w:r>
        <w:rPr>
          <w:b/>
          <w:sz w:val="22"/>
        </w:rPr>
        <w:t>Procedures for Exercise:</w:t>
      </w:r>
    </w:p>
    <w:p>
      <w:pPr>
        <w:pStyle w:val="Normal"/>
        <w:widowControl/>
        <w:rPr>
          <w:sz w:val="22"/>
        </w:rPr>
      </w:pPr>
      <w:r>
        <w:rPr>
          <w:sz w:val="22"/>
        </w:rPr>
      </w:r>
    </w:p>
    <w:tbl>
      <w:tblPr>
        <w:tblW w:w="9558" w:type="dxa"/>
        <w:jc w:val="start"/>
        <w:tblInd w:w="18" w:type="dxa"/>
        <w:tblLayout w:type="fixed"/>
        <w:tblCellMar>
          <w:top w:w="0" w:type="dxa"/>
          <w:start w:w="108" w:type="dxa"/>
          <w:bottom w:w="0" w:type="dxa"/>
          <w:end w:w="108" w:type="dxa"/>
        </w:tblCellMar>
      </w:tblPr>
      <w:tblGrid>
        <w:gridCol w:w="4770"/>
        <w:gridCol w:w="4788"/>
      </w:tblGrid>
      <w:tr>
        <w:trPr/>
        <w:tc>
          <w:tcPr>
            <w:tcW w:w="4770" w:type="dxa"/>
            <w:tcBorders/>
          </w:tcPr>
          <w:p>
            <w:pPr>
              <w:pStyle w:val="Normal"/>
              <w:widowControl/>
              <w:ind w:firstLine="720" w:start="-18" w:end="0"/>
              <w:rPr>
                <w:sz w:val="22"/>
              </w:rPr>
            </w:pPr>
            <w:r>
              <w:rPr>
                <w:sz w:val="22"/>
              </w:rPr>
              <w:t>Exercise Period:</w:t>
            </w:r>
          </w:p>
        </w:tc>
        <w:tc>
          <w:tcPr>
            <w:tcW w:w="4788" w:type="dxa"/>
            <w:tcBorders/>
          </w:tcPr>
          <w:p>
            <w:pPr>
              <w:pStyle w:val="Normal"/>
              <w:widowControl/>
              <w:ind w:start="-18" w:end="0"/>
              <w:jc w:val="both"/>
              <w:rPr/>
            </w:pPr>
            <w:r>
              <w:rPr>
                <w:sz w:val="22"/>
              </w:rPr>
              <w:t xml:space="preserve">Any Business Day from and including the Trade Date to and including August 31, 1999 between 8:00 a.m. (CST) and 5:00 p.m. (CST). Notice of Exercise to be given to Party B at </w:t>
            </w:r>
            <w:r>
              <w:rPr>
                <w:b/>
                <w:sz w:val="22"/>
              </w:rPr>
              <w:t>[Location]</w:t>
            </w:r>
            <w:r>
              <w:rPr>
                <w:sz w:val="22"/>
              </w:rPr>
              <w:t xml:space="preserve">. </w:t>
            </w:r>
          </w:p>
          <w:p>
            <w:pPr>
              <w:pStyle w:val="Normal"/>
              <w:widowControl/>
              <w:ind w:start="-18" w:end="0"/>
              <w:jc w:val="both"/>
              <w:rPr>
                <w:sz w:val="22"/>
              </w:rPr>
            </w:pPr>
            <w:r>
              <w:rPr>
                <w:sz w:val="22"/>
              </w:rPr>
            </w:r>
          </w:p>
          <w:p>
            <w:pPr>
              <w:pStyle w:val="Normal"/>
              <w:widowControl/>
              <w:ind w:start="-18" w:end="0"/>
              <w:jc w:val="both"/>
              <w:rPr>
                <w:sz w:val="22"/>
              </w:rPr>
            </w:pPr>
            <w:r>
              <w:rPr>
                <w:sz w:val="22"/>
              </w:rPr>
              <w:t xml:space="preserve">(i) Buyer shall deliver telephonic Notice of Exercise to Seller, at which time Buyer shall designate an initial Notional Quantity, which shall not be less than 150,000 Metric Tons nor more than 500,000 Metric Tons (the “Initial Notional Quantity”). Upon Buyer’s designation of the Initial Notional Quantity, Seller may elect that the Notice of Exercise is applicable to either Underlying Transaction I or Underlying Transaction II, or both Underlying Transaction I and II, and may assign any portion of the Initial Notional Quantity to the relevant Underlying Transaction(s). </w:t>
            </w:r>
          </w:p>
          <w:p>
            <w:pPr>
              <w:pStyle w:val="Normal"/>
              <w:widowControl/>
              <w:ind w:start="-18" w:end="0"/>
              <w:jc w:val="both"/>
              <w:rPr>
                <w:sz w:val="22"/>
              </w:rPr>
            </w:pPr>
            <w:r>
              <w:rPr>
                <w:sz w:val="22"/>
              </w:rPr>
            </w:r>
          </w:p>
          <w:p>
            <w:pPr>
              <w:pStyle w:val="Normal"/>
              <w:widowControl/>
              <w:ind w:start="-18" w:end="0"/>
              <w:jc w:val="both"/>
              <w:rPr>
                <w:sz w:val="22"/>
              </w:rPr>
            </w:pPr>
            <w:r>
              <w:rPr>
                <w:sz w:val="22"/>
              </w:rPr>
              <w:t xml:space="preserve">(ii) In the event that the Initial Notional Quantity is less than 500,000 Metric Tons and Buyer delivers Notice of Exercise on any subsequent Exercise Date, Buyer shall designate additional Notional Quantity (the “Additional Notional Quantity”), provided that such Additional Notional Quantity shall not be less than seventy percent (70%) of the difference between 500,000 Metric Tons and the Initial Notional Quantity, nor more than an amount which would make the aggregate Total Notional Quantity of the relevant Underlying Transaction(s) greater than 500,000 Metric Tons. Upon Buyer’s designation of the Additional Notional Quantity, Seller may elect that the Notice of Exercise is applicable to either Underlying Transaction I or Underlying Transaction II, or both Underlying Transaction I and II, and may assign any portion of the Additional Notional Quantity to the relevant Underlying Transaction(s). </w:t>
            </w:r>
          </w:p>
        </w:tc>
      </w:tr>
      <w:tr>
        <w:trPr/>
        <w:tc>
          <w:tcPr>
            <w:tcW w:w="4770" w:type="dxa"/>
            <w:tcBorders/>
          </w:tcPr>
          <w:p>
            <w:pPr>
              <w:pStyle w:val="Normal"/>
              <w:widowControl/>
              <w:snapToGrid w:val="false"/>
              <w:ind w:firstLine="720" w:start="-18" w:end="0"/>
              <w:rPr>
                <w:sz w:val="22"/>
              </w:rPr>
            </w:pPr>
            <w:r>
              <w:rPr>
                <w:sz w:val="22"/>
              </w:rPr>
            </w:r>
          </w:p>
        </w:tc>
        <w:tc>
          <w:tcPr>
            <w:tcW w:w="4788" w:type="dxa"/>
            <w:tcBorders/>
          </w:tcPr>
          <w:p>
            <w:pPr>
              <w:pStyle w:val="Normal"/>
              <w:widowControl/>
              <w:snapToGrid w:val="false"/>
              <w:ind w:start="-18" w:end="0"/>
              <w:jc w:val="both"/>
              <w:rPr>
                <w:sz w:val="22"/>
              </w:rPr>
            </w:pPr>
            <w:r>
              <w:rPr>
                <w:sz w:val="22"/>
              </w:rPr>
            </w:r>
          </w:p>
        </w:tc>
      </w:tr>
      <w:tr>
        <w:trPr/>
        <w:tc>
          <w:tcPr>
            <w:tcW w:w="4770" w:type="dxa"/>
            <w:tcBorders/>
          </w:tcPr>
          <w:p>
            <w:pPr>
              <w:pStyle w:val="Normal"/>
              <w:widowControl/>
              <w:ind w:firstLine="720" w:start="-18" w:end="0"/>
              <w:rPr>
                <w:sz w:val="22"/>
              </w:rPr>
            </w:pPr>
            <w:r>
              <w:rPr>
                <w:sz w:val="22"/>
              </w:rPr>
              <w:t>Automatic Exercise:</w:t>
            </w:r>
          </w:p>
        </w:tc>
        <w:tc>
          <w:tcPr>
            <w:tcW w:w="4788" w:type="dxa"/>
            <w:tcBorders/>
          </w:tcPr>
          <w:p>
            <w:pPr>
              <w:pStyle w:val="Normal"/>
              <w:widowControl/>
              <w:ind w:start="-18" w:end="0"/>
              <w:jc w:val="both"/>
              <w:rPr>
                <w:sz w:val="22"/>
              </w:rPr>
            </w:pPr>
            <w:r>
              <w:rPr>
                <w:sz w:val="22"/>
              </w:rPr>
              <w:t>Inapplicable</w:t>
            </w:r>
          </w:p>
        </w:tc>
      </w:tr>
      <w:tr>
        <w:trPr/>
        <w:tc>
          <w:tcPr>
            <w:tcW w:w="4770" w:type="dxa"/>
            <w:tcBorders/>
          </w:tcPr>
          <w:p>
            <w:pPr>
              <w:pStyle w:val="Normal"/>
              <w:widowControl/>
              <w:snapToGrid w:val="false"/>
              <w:ind w:firstLine="720" w:start="-18" w:end="0"/>
              <w:rPr>
                <w:sz w:val="22"/>
              </w:rPr>
            </w:pPr>
            <w:r>
              <w:rPr>
                <w:sz w:val="22"/>
              </w:rPr>
            </w:r>
          </w:p>
        </w:tc>
        <w:tc>
          <w:tcPr>
            <w:tcW w:w="4788" w:type="dxa"/>
            <w:tcBorders/>
          </w:tcPr>
          <w:p>
            <w:pPr>
              <w:pStyle w:val="Normal"/>
              <w:widowControl/>
              <w:snapToGrid w:val="false"/>
              <w:ind w:start="-18" w:end="0"/>
              <w:jc w:val="both"/>
              <w:rPr>
                <w:sz w:val="22"/>
              </w:rPr>
            </w:pPr>
            <w:r>
              <w:rPr>
                <w:sz w:val="22"/>
              </w:rPr>
            </w:r>
          </w:p>
        </w:tc>
      </w:tr>
      <w:tr>
        <w:trPr>
          <w:trHeight w:val="510" w:hRule="atLeast"/>
        </w:trPr>
        <w:tc>
          <w:tcPr>
            <w:tcW w:w="4770" w:type="dxa"/>
            <w:tcBorders/>
          </w:tcPr>
          <w:p>
            <w:pPr>
              <w:pStyle w:val="Normal"/>
              <w:widowControl/>
              <w:ind w:firstLine="720" w:start="-18" w:end="0"/>
              <w:rPr>
                <w:sz w:val="22"/>
              </w:rPr>
            </w:pPr>
            <w:r>
              <w:rPr>
                <w:sz w:val="22"/>
              </w:rPr>
              <w:tab/>
              <w:t xml:space="preserve">Written Confirmation of </w:t>
            </w:r>
          </w:p>
          <w:p>
            <w:pPr>
              <w:pStyle w:val="Normal"/>
              <w:ind w:firstLine="720" w:start="-18" w:end="0"/>
              <w:rPr>
                <w:sz w:val="22"/>
              </w:rPr>
            </w:pPr>
            <w:r>
              <w:rPr>
                <w:sz w:val="22"/>
              </w:rPr>
              <w:t>Notice of Exercise:</w:t>
            </w:r>
          </w:p>
        </w:tc>
        <w:tc>
          <w:tcPr>
            <w:tcW w:w="4788" w:type="dxa"/>
            <w:tcBorders/>
          </w:tcPr>
          <w:p>
            <w:pPr>
              <w:pStyle w:val="Normal"/>
              <w:snapToGrid w:val="false"/>
              <w:rPr>
                <w:sz w:val="22"/>
              </w:rPr>
            </w:pPr>
            <w:r>
              <w:rPr>
                <w:sz w:val="22"/>
              </w:rPr>
            </w:r>
          </w:p>
          <w:p>
            <w:pPr>
              <w:pStyle w:val="Normal"/>
              <w:rPr>
                <w:sz w:val="22"/>
              </w:rPr>
            </w:pPr>
            <w:r>
              <w:rPr>
                <w:sz w:val="22"/>
              </w:rPr>
              <w:t>Applicable</w:t>
            </w:r>
          </w:p>
        </w:tc>
      </w:tr>
    </w:tbl>
    <w:p>
      <w:pPr>
        <w:pStyle w:val="Normal"/>
        <w:widowControl/>
        <w:rPr>
          <w:sz w:val="22"/>
        </w:rPr>
      </w:pPr>
      <w:r>
        <w:rPr>
          <w:sz w:val="22"/>
        </w:rPr>
      </w:r>
    </w:p>
    <w:p>
      <w:pPr>
        <w:pStyle w:val="Normal"/>
        <w:widowControl/>
        <w:jc w:val="both"/>
        <w:rPr>
          <w:sz w:val="22"/>
        </w:rPr>
      </w:pPr>
      <w:r>
        <w:rPr>
          <w:b/>
          <w:sz w:val="22"/>
        </w:rPr>
        <w:t>The terms of the Underlying Transaction I to which the Option relates are as follows:</w:t>
      </w:r>
    </w:p>
    <w:p>
      <w:pPr>
        <w:pStyle w:val="Normal"/>
        <w:widowContro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The sum of the Initial Notional Quantity and the Additional Notional Quantity, which shall not be less than [150,000] Metric Tons nor more than [500,000] 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An amount in Metric Tons, as determined on the Exercise Date(s)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Northern Bleached Softwood Kraft - U.S. Delivery</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sz w:val="22"/>
              </w:rPr>
            </w:pPr>
            <w:r>
              <w:rPr>
                <w:b/>
                <w:sz w:val="22"/>
              </w:rPr>
              <w:t>[to be agreed]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January 1, 2000</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December 31, 2009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88" w:type="dxa"/>
            <w:tcBorders/>
          </w:tcPr>
          <w:p>
            <w:pPr>
              <w:pStyle w:val="Normal"/>
              <w:widowControl/>
              <w:jc w:val="both"/>
              <w:rPr>
                <w:sz w:val="22"/>
              </w:rPr>
            </w:pPr>
            <w:r>
              <w:rPr>
                <w:color w:val="000000"/>
                <w:sz w:val="22"/>
              </w:rPr>
              <w:t>Monthly periods, with the first Calculation Period commencing on January 1, 2000 and the final Calculation Period ending on December 31, 2009</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Date(s):</w:t>
            </w:r>
          </w:p>
        </w:tc>
        <w:tc>
          <w:tcPr>
            <w:tcW w:w="4788"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Party B</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$560.00 per Metric Ton</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sz w:val="22"/>
              </w:rPr>
            </w:pPr>
            <w:r>
              <w:rPr>
                <w:sz w:val="22"/>
              </w:rPr>
              <w:t>The Floating Price for each Calculation Period shall be the price per Metric Ton of Northern Bleached Softwood Kraft, stated in U.S. Dollars, delivered in the Northern U.S., published under the headings “Table 5: Market Pulp Price Summary: U.S. Dollars Per Metric Ton, Transaction Prices: delivered in the Northern U.S., published under the</w:t>
            </w:r>
          </w:p>
        </w:tc>
      </w:tr>
    </w:tbl>
    <w:p>
      <w:pPr>
        <w:pStyle w:val="Normal"/>
        <w:rPr/>
      </w:pPr>
      <w:r>
        <w:br w:type="page"/>
      </w: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jc w:val="both"/>
              <w:rPr/>
            </w:pPr>
            <w:r>
              <w:rPr>
                <w:sz w:val="22"/>
              </w:rPr>
              <w:t xml:space="preserve">headings “Table 5: Market Pulp Price Summary: U.S. Dollars Per Metric Ton, Transaction Prices: Delivered to United States: Northern: Bl. Softwood Kraft” in the issue of the </w:t>
            </w:r>
            <w:r>
              <w:rPr>
                <w:sz w:val="22"/>
                <w:u w:val="single"/>
              </w:rPr>
              <w:t>World Pulp Monthly</w:t>
            </w:r>
            <w:r>
              <w:rPr>
                <w:sz w:val="22"/>
              </w:rPr>
              <w:t xml:space="preserve"> that reports prices effective on the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pPr>
            <w:r>
              <w:rPr>
                <w:sz w:val="22"/>
              </w:rPr>
              <w:t xml:space="preserve">Date of publication of </w:t>
            </w:r>
            <w:r>
              <w:rPr>
                <w:sz w:val="22"/>
                <w:u w:val="single"/>
              </w:rPr>
              <w:t>World Pulp Monthly</w:t>
            </w:r>
            <w:r>
              <w:rPr>
                <w:sz w:val="22"/>
              </w:rPr>
              <w:t>, or any successor publication, published by Resource Information Systems, Inc. or its successor (such publication, the “</w:t>
            </w:r>
            <w:r>
              <w:rPr>
                <w:sz w:val="22"/>
                <w:u w:val="single"/>
              </w:rPr>
              <w:t>World Pulp Monthly</w:t>
            </w:r>
            <w:r>
              <w:rPr>
                <w:sz w:val="22"/>
              </w:rPr>
              <w:t xml:space="preserve">”) for the applicable Calculation Period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pPr>
            <w:r>
              <w:rPr>
                <w:sz w:val="22"/>
              </w:rPr>
              <w:t xml:space="preserve">The Fallback Reference Price for any Calculation Period shall be the price per Metric Ton of Northern Bleached Softwood Kraft, stated in U.S. Dollars, published under the headings: “Price Watch: Market Pulp: Grade: U.S. (delivered in East): Bleached softwood kraft: Northern (Canadian)” in the issue of </w:t>
            </w:r>
            <w:r>
              <w:rPr>
                <w:sz w:val="22"/>
                <w:u w:val="single"/>
              </w:rPr>
              <w:t>Pulp and Paper Week,</w:t>
            </w:r>
            <w:r>
              <w:rPr>
                <w:sz w:val="22"/>
              </w:rPr>
              <w:t xml:space="preserve"> or its successor publication, published by Miller Freeman Inc., or its successor, that reports prices effective on the Pricing Date for such Calculation Period, minus U.S. $10.00 per Metric Ton</w:t>
            </w:r>
          </w:p>
        </w:tc>
      </w:tr>
    </w:tbl>
    <w:p>
      <w:pPr>
        <w:pStyle w:val="Normal"/>
        <w:widowControl/>
        <w:jc w:val="both"/>
        <w:rPr>
          <w:sz w:val="22"/>
        </w:rPr>
      </w:pPr>
      <w:r>
        <w:rPr>
          <w:sz w:val="22"/>
        </w:rPr>
      </w:r>
    </w:p>
    <w:p>
      <w:pPr>
        <w:pStyle w:val="Normal"/>
        <w:widowControl/>
        <w:jc w:val="both"/>
        <w:rPr>
          <w:sz w:val="22"/>
        </w:rPr>
      </w:pPr>
      <w:r>
        <w:rPr>
          <w:b/>
          <w:sz w:val="22"/>
        </w:rPr>
        <w:t>The terms of the Underlying Transaction II to which the Option relates are as follows:</w:t>
      </w:r>
    </w:p>
    <w:p>
      <w:pPr>
        <w:pStyle w:val="Normal"/>
        <w:widowContro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The sum of the Initial Notional Quantity and the Additional Notional Quantity, which shall not be less than [150,000] Metric Tons nor more than [500,000] 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An amount in Metric Tons, which shall be determined on the Exercise Date(s)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Bleached Kraft Fluff</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sz w:val="22"/>
              </w:rPr>
            </w:pPr>
            <w:r>
              <w:rPr>
                <w:b/>
                <w:sz w:val="22"/>
              </w:rPr>
              <w:t>[to be agreed]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January 1, 2000</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December 31, 2009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88" w:type="dxa"/>
            <w:tcBorders/>
          </w:tcPr>
          <w:p>
            <w:pPr>
              <w:pStyle w:val="Normal"/>
              <w:widowControl/>
              <w:jc w:val="both"/>
              <w:rPr>
                <w:sz w:val="22"/>
              </w:rPr>
            </w:pPr>
            <w:r>
              <w:rPr>
                <w:color w:val="000000"/>
                <w:sz w:val="22"/>
              </w:rPr>
              <w:t>Monthly periods, with the first Calculation Period commencing on January 1, 2000 and the final Calculation Period ending on December 31, 2009</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Date(s):</w:t>
            </w:r>
          </w:p>
        </w:tc>
        <w:tc>
          <w:tcPr>
            <w:tcW w:w="4788"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Party B</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$570.00 per Metric Ton</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pPr>
            <w:r>
              <w:rPr>
                <w:sz w:val="22"/>
              </w:rPr>
              <w:t xml:space="preserve">The Floating Price for each Calculation Period shall be an amount equal to the price per Metric Ton of Bleached Kraft Fluff, stated in U.S. Dollars, published under the headings: “Table 5; Market Pulp Price Summary; U.S. Dollars Per Metric Ton, Transaction Prices; Delivered to United States; Southern; Bl. Kraft Fluff ” in the issue of </w:t>
            </w:r>
            <w:r>
              <w:rPr>
                <w:sz w:val="22"/>
                <w:u w:val="single"/>
              </w:rPr>
              <w:t>World Pulp Monthly</w:t>
            </w:r>
            <w:r>
              <w:rPr>
                <w:sz w:val="22"/>
              </w:rPr>
              <w:t xml:space="preserve"> that reports prices effective on that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pPr>
            <w:r>
              <w:rPr>
                <w:sz w:val="22"/>
              </w:rPr>
              <w:t xml:space="preserve">Date of publication of </w:t>
            </w:r>
            <w:r>
              <w:rPr>
                <w:sz w:val="22"/>
                <w:u w:val="single"/>
              </w:rPr>
              <w:t>World Pulp Monthly</w:t>
            </w:r>
            <w:r>
              <w:rPr>
                <w:sz w:val="22"/>
              </w:rPr>
              <w:t>, or any successor publication, published by Resource Information Systems, Inc. or its successor (such publication, the “</w:t>
            </w:r>
            <w:r>
              <w:rPr>
                <w:sz w:val="22"/>
                <w:u w:val="single"/>
              </w:rPr>
              <w:t>World Pulp Monthly</w:t>
            </w:r>
            <w:r>
              <w:rPr>
                <w:sz w:val="22"/>
              </w:rPr>
              <w:t xml:space="preserve">”) for the applicable Calculation Period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pPr>
            <w:r>
              <w:rPr>
                <w:sz w:val="22"/>
              </w:rPr>
              <w:t xml:space="preserve">The Fallback Reference Price for any Calculation Period shall be equal to the average of the high and low prices per Metric Ton of Bleached Kraft Fluff, stated in U.S. Dollars, published under the headings: “Price Watch: Market Pulp: Grade: U.S. (delivered in East): Specialty grades; Fluff (U.S. southern kraft, untreated softwood rolls)” in the issue of </w:t>
            </w:r>
            <w:r>
              <w:rPr>
                <w:sz w:val="22"/>
                <w:u w:val="single"/>
              </w:rPr>
              <w:t>Pulp and Paper Week,</w:t>
            </w:r>
            <w:r>
              <w:rPr>
                <w:sz w:val="22"/>
              </w:rPr>
              <w:t xml:space="preserve"> or its successor publication, published by Miller Freeman Inc., or its successor, that reports prices effective on the Pricing Date for such Calculation Period, minus U.S. $10.00 per Metric Ton</w:t>
            </w:r>
          </w:p>
        </w:tc>
      </w:tr>
    </w:tbl>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ind w:firstLine="720" w:end="0"/>
        <w:jc w:val="both"/>
        <w:rPr>
          <w:sz w:val="22"/>
        </w:rPr>
      </w:pPr>
      <w:r>
        <w:rPr>
          <w:sz w:val="22"/>
        </w:rPr>
        <w:t>Enron Capital &amp; Trade Resources Corp. is pleased to have entered into this Transaction with you.</w:t>
      </w:r>
    </w:p>
    <w:p>
      <w:pPr>
        <w:pStyle w:val="Normal"/>
        <w:widowControl/>
        <w:jc w:val="both"/>
        <w:rPr>
          <w:sz w:val="22"/>
        </w:rPr>
      </w:pPr>
      <w:r>
        <w:rPr>
          <w:sz w:val="22"/>
        </w:rPr>
      </w:r>
    </w:p>
    <w:p>
      <w:pPr>
        <w:pStyle w:val="Normal"/>
        <w:keepNext w:val="true"/>
        <w:widowControl/>
        <w:ind w:firstLine="720" w:start="4320" w:end="0"/>
        <w:rPr>
          <w:sz w:val="22"/>
        </w:rPr>
      </w:pPr>
      <w:r>
        <w:rPr>
          <w:sz w:val="22"/>
        </w:rPr>
      </w:r>
    </w:p>
    <w:p>
      <w:pPr>
        <w:pStyle w:val="Normal"/>
        <w:keepNext w:val="true"/>
        <w:widowControl/>
        <w:ind w:firstLine="720" w:start="4320" w:end="0"/>
        <w:rPr>
          <w:sz w:val="22"/>
        </w:rPr>
      </w:pPr>
      <w:r>
        <w:rPr>
          <w:sz w:val="22"/>
        </w:rPr>
        <w:t>Yours sincerely,</w:t>
      </w:r>
    </w:p>
    <w:p>
      <w:pPr>
        <w:pStyle w:val="Normal"/>
        <w:keepNext w:val="true"/>
        <w:widowControl/>
        <w:rPr>
          <w:sz w:val="22"/>
        </w:rPr>
      </w:pPr>
      <w:r>
        <w:rPr>
          <w:sz w:val="22"/>
        </w:rPr>
      </w:r>
    </w:p>
    <w:p>
      <w:pPr>
        <w:pStyle w:val="Normal"/>
        <w:keepNext w:val="true"/>
        <w:widowControl/>
        <w:ind w:start="5040" w:end="0"/>
        <w:rPr>
          <w:b/>
          <w:sz w:val="22"/>
        </w:rPr>
      </w:pPr>
      <w:r>
        <w:rPr>
          <w:sz w:val="22"/>
        </w:rPr>
        <w:t>Enron Capital &amp; Trade Resources Corp.</w:t>
      </w:r>
    </w:p>
    <w:p>
      <w:pPr>
        <w:pStyle w:val="Normal"/>
        <w:keepNext w:val="true"/>
        <w:widowControl/>
        <w:rPr>
          <w:b/>
          <w:sz w:val="22"/>
        </w:rPr>
      </w:pPr>
      <w:r>
        <w:rPr>
          <w:b/>
          <w:sz w:val="22"/>
        </w:rPr>
      </w:r>
    </w:p>
    <w:p>
      <w:pPr>
        <w:pStyle w:val="Normal"/>
        <w:keepNext w:val="true"/>
        <w:widowControl/>
        <w:ind w:firstLine="720" w:start="4320" w:end="0"/>
        <w:rPr/>
      </w:pPr>
      <w:r>
        <w:rPr>
          <w:sz w:val="22"/>
        </w:rPr>
        <w:t>By:</w:t>
        <w:tab/>
        <w:t>_____________</w:t>
      </w:r>
      <w:r>
        <w:rPr>
          <w:b/>
          <w:sz w:val="22"/>
        </w:rPr>
        <w:t>DRAFT</w:t>
      </w:r>
      <w:r>
        <w:rPr>
          <w:sz w:val="22"/>
        </w:rPr>
        <w:t>_________</w:t>
      </w:r>
    </w:p>
    <w:p>
      <w:pPr>
        <w:pStyle w:val="Normal"/>
        <w:keepNext w:val="true"/>
        <w:widowControl/>
        <w:ind w:firstLine="720" w:start="4320" w:end="0"/>
        <w:rPr>
          <w:sz w:val="22"/>
        </w:rPr>
      </w:pPr>
      <w:r>
        <w:rPr>
          <w:sz w:val="22"/>
        </w:rPr>
        <w:t>Name:</w:t>
        <w:tab/>
        <w:t>_____________________________</w:t>
      </w:r>
    </w:p>
    <w:p>
      <w:pPr>
        <w:pStyle w:val="Normal"/>
        <w:keepNext w:val="true"/>
        <w:widowControl/>
        <w:ind w:firstLine="720" w:start="4320" w:end="0"/>
        <w:rPr>
          <w:sz w:val="22"/>
        </w:rPr>
      </w:pPr>
      <w:r>
        <w:rPr>
          <w:sz w:val="22"/>
        </w:rPr>
        <w:t>Title:</w:t>
        <w:tab/>
        <w:t>_____________________________</w:t>
      </w:r>
    </w:p>
    <w:p>
      <w:pPr>
        <w:pStyle w:val="Normal"/>
        <w:keepNext w:val="true"/>
        <w:widowControl/>
        <w:rPr>
          <w:sz w:val="22"/>
        </w:rPr>
      </w:pPr>
      <w:r>
        <w:rPr>
          <w:sz w:val="22"/>
        </w:rPr>
      </w:r>
    </w:p>
    <w:p>
      <w:pPr>
        <w:pStyle w:val="Normal"/>
        <w:keepNext w:val="true"/>
        <w:widowControl/>
        <w:rPr>
          <w:sz w:val="22"/>
        </w:rPr>
      </w:pPr>
      <w:r>
        <w:rPr>
          <w:sz w:val="22"/>
        </w:rPr>
        <w:t>Confirmed as of the date first above written:</w:t>
      </w:r>
    </w:p>
    <w:p>
      <w:pPr>
        <w:pStyle w:val="Normal"/>
        <w:keepNext w:val="true"/>
        <w:widowControl/>
        <w:rPr>
          <w:sz w:val="22"/>
        </w:rPr>
      </w:pPr>
      <w:r>
        <w:rPr>
          <w:sz w:val="22"/>
        </w:rPr>
      </w:r>
    </w:p>
    <w:p>
      <w:pPr>
        <w:pStyle w:val="Normal"/>
        <w:keepNext w:val="true"/>
        <w:widowControl/>
        <w:rPr>
          <w:sz w:val="22"/>
        </w:rPr>
      </w:pPr>
      <w:r>
        <w:rPr>
          <w:sz w:val="22"/>
        </w:rPr>
        <w:t>The Procter &amp; Gamble Company</w:t>
      </w:r>
    </w:p>
    <w:p>
      <w:pPr>
        <w:pStyle w:val="Normal"/>
        <w:keepNext w:val="true"/>
        <w:widowControl/>
        <w:rPr>
          <w:sz w:val="22"/>
        </w:rPr>
      </w:pPr>
      <w:r>
        <w:rPr>
          <w:sz w:val="22"/>
        </w:rPr>
      </w:r>
    </w:p>
    <w:p>
      <w:pPr>
        <w:pStyle w:val="Normal"/>
        <w:keepNext w:val="true"/>
        <w:widowControl/>
        <w:rPr/>
      </w:pPr>
      <w:r>
        <w:rPr>
          <w:sz w:val="22"/>
        </w:rPr>
        <w:t>By:</w:t>
        <w:tab/>
        <w:t>_________</w:t>
      </w:r>
      <w:r>
        <w:rPr>
          <w:b/>
          <w:sz w:val="22"/>
        </w:rPr>
        <w:t>DRAFT</w:t>
      </w:r>
      <w:r>
        <w:rPr>
          <w:sz w:val="22"/>
        </w:rPr>
        <w:t>_____________</w:t>
      </w:r>
    </w:p>
    <w:p>
      <w:pPr>
        <w:pStyle w:val="Normal"/>
        <w:keepNext w:val="true"/>
        <w:widowControl/>
        <w:rPr>
          <w:sz w:val="22"/>
        </w:rPr>
      </w:pPr>
      <w:r>
        <w:rPr>
          <w:sz w:val="22"/>
        </w:rPr>
        <w:t>Name:</w:t>
        <w:tab/>
        <w:t>_____________________________</w:t>
      </w:r>
    </w:p>
    <w:p>
      <w:pPr>
        <w:pStyle w:val="Normal"/>
        <w:keepNext w:val="true"/>
        <w:widowControl/>
        <w:rPr>
          <w:sz w:val="22"/>
        </w:rPr>
      </w:pPr>
      <w:r>
        <w:rPr>
          <w:sz w:val="22"/>
        </w:rPr>
        <w:t>Title:</w:t>
        <w:tab/>
        <w:t>_____________________________</w:t>
      </w:r>
    </w:p>
    <w:p>
      <w:pPr>
        <w:pStyle w:val="Normal"/>
        <w:keepNext w:val="true"/>
        <w:widowControl/>
        <w:rPr>
          <w:sz w:val="22"/>
        </w:rPr>
      </w:pPr>
      <w:r>
        <w:rPr>
          <w:sz w:val="22"/>
        </w:rPr>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txbxContent>
              </v:textbox>
              <w10:wrap type="square"/>
            </v:rect>
          </w:pict>
        </mc:Fallback>
      </mc:AlternateContent>
    </w:r>
  </w:p>
  <w:p>
    <w:pPr>
      <w:pStyle w:val="Footer"/>
      <w:widowControl/>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b/>
        <w:sz w:val="22"/>
      </w:rPr>
      <w:t>SECOND DRAFT</w:t>
    </w:r>
    <w:r>
      <w:rPr>
        <w:sz w:val="22"/>
      </w:rPr>
      <w:t xml:space="preserve">                                                                Deal No.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1999-04-12T15:50:00Z</dcterms:created>
  <dc:creator>Enron</dc:creator>
  <dc:description/>
  <dc:language>en-CA</dc:language>
  <cp:lastModifiedBy>dneuner</cp:lastModifiedBy>
  <cp:lastPrinted>1999-05-10T16:46:00Z</cp:lastPrinted>
  <dcterms:modified xsi:type="dcterms:W3CDTF">1999-05-11T18:44:00Z</dcterms:modified>
  <cp:revision>16</cp:revision>
  <dc:subject/>
  <dc:title>[ECT LETTERHEAD]</dc:title>
</cp:coreProperties>
</file>