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32"/>
        </w:rPr>
      </w:pPr>
      <w:r>
        <w:rPr>
          <w:sz w:val="32"/>
        </w:rPr>
        <w:t>Procedures for Executing/Documenting/Unwinding ENE Equity Derivatives</w:t>
      </w:r>
    </w:p>
    <w:p>
      <w:pPr>
        <w:pStyle w:val="Normal"/>
        <w:rPr>
          <w:sz w:val="32"/>
        </w:rPr>
      </w:pPr>
      <w:r>
        <w:rPr>
          <w:sz w:val="32"/>
        </w:rPr>
      </w:r>
    </w:p>
    <w:p>
      <w:pPr>
        <w:pStyle w:val="Normal"/>
        <w:rPr/>
      </w:pPr>
      <w:r>
        <w:rPr/>
      </w:r>
    </w:p>
    <w:p>
      <w:pPr>
        <w:pStyle w:val="Normal"/>
        <w:rPr>
          <w:b/>
          <w:u w:val="single"/>
        </w:rPr>
      </w:pPr>
      <w:r>
        <w:rPr>
          <w:b/>
          <w:u w:val="single"/>
        </w:rPr>
      </w:r>
    </w:p>
    <w:p>
      <w:pPr>
        <w:pStyle w:val="Normal"/>
        <w:rPr>
          <w:sz w:val="24"/>
        </w:rPr>
      </w:pPr>
      <w:r>
        <w:rPr>
          <w:b/>
          <w:sz w:val="24"/>
          <w:u w:val="single"/>
        </w:rPr>
        <w:t>Preparation for Equity Trades</w:t>
      </w:r>
    </w:p>
    <w:p>
      <w:pPr>
        <w:pStyle w:val="Normal"/>
        <w:numPr>
          <w:ilvl w:val="0"/>
          <w:numId w:val="7"/>
        </w:numPr>
        <w:rPr>
          <w:sz w:val="24"/>
        </w:rPr>
      </w:pPr>
      <w:r>
        <w:rPr>
          <w:sz w:val="24"/>
        </w:rPr>
        <w:t>Establish a minimum of four ISDAs for equity trading with existing Enron relationship banks.</w:t>
      </w:r>
    </w:p>
    <w:p>
      <w:pPr>
        <w:pStyle w:val="Normal"/>
        <w:numPr>
          <w:ilvl w:val="0"/>
          <w:numId w:val="7"/>
        </w:numPr>
        <w:rPr>
          <w:sz w:val="24"/>
        </w:rPr>
      </w:pPr>
      <w:r>
        <w:rPr>
          <w:sz w:val="24"/>
        </w:rPr>
        <w:t>Explain to these banks the type of trades anticipated including cash settlement of the total return swap and simultaneous execution of a 12 month equity forward.  Investment bank is to understand and accept that the price of the unwind is to be at the stock price’s high of the day and may be significantly off market by the time the trade is executed.</w:t>
      </w:r>
    </w:p>
    <w:p>
      <w:pPr>
        <w:pStyle w:val="Normal"/>
        <w:numPr>
          <w:ilvl w:val="0"/>
          <w:numId w:val="7"/>
        </w:numPr>
        <w:rPr>
          <w:sz w:val="24"/>
        </w:rPr>
      </w:pPr>
      <w:r>
        <w:rPr>
          <w:sz w:val="24"/>
        </w:rPr>
        <w:t>Create phone list consisting of relationship manager, trader, credit contact, and legal contact at each investment bank that we have ISDAs with.</w:t>
      </w:r>
    </w:p>
    <w:p>
      <w:pPr>
        <w:pStyle w:val="Normal"/>
        <w:rPr>
          <w:sz w:val="24"/>
        </w:rPr>
      </w:pPr>
      <w:r>
        <w:rPr>
          <w:sz w:val="24"/>
        </w:rPr>
      </w:r>
    </w:p>
    <w:p>
      <w:pPr>
        <w:pStyle w:val="Heading1"/>
        <w:ind w:hanging="0" w:start="0"/>
        <w:rPr>
          <w:sz w:val="24"/>
        </w:rPr>
      </w:pPr>
      <w:r>
        <w:rPr>
          <w:sz w:val="24"/>
        </w:rPr>
        <w:t>Initial Execution</w:t>
      </w:r>
    </w:p>
    <w:p>
      <w:pPr>
        <w:pStyle w:val="Normal"/>
        <w:numPr>
          <w:ilvl w:val="0"/>
          <w:numId w:val="5"/>
        </w:numPr>
        <w:rPr>
          <w:sz w:val="24"/>
        </w:rPr>
      </w:pPr>
      <w:r>
        <w:rPr>
          <w:sz w:val="24"/>
        </w:rPr>
        <w:t>Chief Financial Officer (Andy Fastow – x37427) to call Treasurer (Ben Glisan - x36103), Asst. Treasurer (Tim Despain - x31770), or Asst. Treasurer’s backup (Clint Freeland - x57538) and give the order to execute a total return swap on X number of shares at a maximum price of $X per share.</w:t>
      </w:r>
    </w:p>
    <w:p>
      <w:pPr>
        <w:pStyle w:val="Normal"/>
        <w:numPr>
          <w:ilvl w:val="0"/>
          <w:numId w:val="5"/>
        </w:numPr>
        <w:rPr>
          <w:sz w:val="24"/>
        </w:rPr>
      </w:pPr>
      <w:r>
        <w:rPr>
          <w:sz w:val="24"/>
        </w:rPr>
        <w:t>Treasury person who receives the call from the Chief Financial Officer contacts Rex Rogers (x33069) to confirm ENE’s ability to be in the market for equity securities.  Rex to verify that we have sufficient share buyback authority, and that there is no material information that has not been shared with the market that precludes us from executing the trade.</w:t>
      </w:r>
    </w:p>
    <w:p>
      <w:pPr>
        <w:pStyle w:val="Normal"/>
        <w:numPr>
          <w:ilvl w:val="0"/>
          <w:numId w:val="5"/>
        </w:numPr>
        <w:rPr>
          <w:sz w:val="24"/>
        </w:rPr>
      </w:pPr>
      <w:r>
        <w:rPr>
          <w:sz w:val="24"/>
        </w:rPr>
        <w:t>Treasury person contacts the investment bank that we want to trade with and confirm that they have sufficient credit availability to execute the trade.  Should sufficient credit not be available, a second investment bank should be selected and the process repeated.  Treasury person also to confirm the unwind strategy (unwinding the TRS at the stock price’s high of the day, even if it’s off market at the time of execution, and entering into 12 month share settled forward) with the investment bank.</w:t>
      </w:r>
    </w:p>
    <w:p>
      <w:pPr>
        <w:pStyle w:val="Normal"/>
        <w:numPr>
          <w:ilvl w:val="0"/>
          <w:numId w:val="5"/>
        </w:numPr>
        <w:rPr>
          <w:sz w:val="24"/>
        </w:rPr>
      </w:pPr>
      <w:r>
        <w:rPr>
          <w:sz w:val="24"/>
        </w:rPr>
        <w:t>Once clearance has been given by Rex Rogers and the investment bank, the Treasury person is to contact John Greene (x35355), David Vitrella (x37143), or Gary Hickerson (x37617) and ask them to call the selected investment bank and execute the equity trade.</w:t>
      </w:r>
    </w:p>
    <w:p>
      <w:pPr>
        <w:pStyle w:val="Normal"/>
        <w:numPr>
          <w:ilvl w:val="0"/>
          <w:numId w:val="5"/>
        </w:numPr>
        <w:rPr>
          <w:sz w:val="24"/>
        </w:rPr>
      </w:pPr>
      <w:r>
        <w:rPr>
          <w:sz w:val="24"/>
        </w:rPr>
        <w:t>Once the trade has been executed, Treasury person is to notify Credit (Rod Nelson – x33559) and Legal (Sara Shackleton – x35620) of the trade.</w:t>
      </w:r>
    </w:p>
    <w:p>
      <w:pPr>
        <w:pStyle w:val="Normal"/>
        <w:rPr>
          <w:sz w:val="24"/>
        </w:rPr>
      </w:pPr>
      <w:r>
        <w:rPr>
          <w:sz w:val="24"/>
        </w:rPr>
      </w:r>
    </w:p>
    <w:p>
      <w:pPr>
        <w:pStyle w:val="Normal"/>
        <w:rPr>
          <w:sz w:val="24"/>
        </w:rPr>
      </w:pPr>
      <w:r>
        <w:rPr>
          <w:sz w:val="24"/>
        </w:rPr>
      </w:r>
    </w:p>
    <w:p>
      <w:pPr>
        <w:pStyle w:val="Heading1"/>
        <w:ind w:hanging="0" w:start="0"/>
        <w:rPr>
          <w:sz w:val="24"/>
        </w:rPr>
      </w:pPr>
      <w:r>
        <w:rPr>
          <w:sz w:val="24"/>
        </w:rPr>
        <w:t>Confirmations for Initial Trades</w:t>
      </w:r>
    </w:p>
    <w:p>
      <w:pPr>
        <w:pStyle w:val="Normal"/>
        <w:numPr>
          <w:ilvl w:val="0"/>
          <w:numId w:val="6"/>
        </w:numPr>
        <w:rPr>
          <w:sz w:val="24"/>
        </w:rPr>
      </w:pPr>
      <w:r>
        <w:rPr>
          <w:sz w:val="24"/>
        </w:rPr>
        <w:t>When ENA receives the confirmation for the equity trade, ENA will forward copies to the Asst. Treasurer and the Asst. Treasurer’s backup (fax # - 713-646-8517) as well as to Jill Erwin who maintains the position report.</w:t>
      </w:r>
    </w:p>
    <w:p>
      <w:pPr>
        <w:pStyle w:val="Normal"/>
        <w:numPr>
          <w:ilvl w:val="0"/>
          <w:numId w:val="6"/>
        </w:numPr>
        <w:rPr>
          <w:sz w:val="24"/>
        </w:rPr>
      </w:pPr>
      <w:r>
        <w:rPr>
          <w:sz w:val="24"/>
        </w:rPr>
        <w:t>Asst. Treasurer or Asst. Treasurer’s backup will be responsible for forwarding the confirmation to both Credit and Legal departments.</w:t>
      </w:r>
    </w:p>
    <w:p>
      <w:pPr>
        <w:pStyle w:val="Normal"/>
        <w:numPr>
          <w:ilvl w:val="0"/>
          <w:numId w:val="6"/>
        </w:numPr>
        <w:rPr>
          <w:sz w:val="24"/>
        </w:rPr>
      </w:pPr>
      <w:r>
        <w:rPr>
          <w:sz w:val="24"/>
        </w:rPr>
        <w:t>Should any modifications to the confirmation be necessary, Asst. Treasurer or his backup will work with Legal to negotiate with the investment bank.</w:t>
      </w:r>
    </w:p>
    <w:p>
      <w:pPr>
        <w:pStyle w:val="Normal"/>
        <w:numPr>
          <w:ilvl w:val="0"/>
          <w:numId w:val="6"/>
        </w:numPr>
        <w:rPr>
          <w:sz w:val="24"/>
        </w:rPr>
      </w:pPr>
      <w:r>
        <w:rPr>
          <w:sz w:val="24"/>
        </w:rPr>
        <w:t xml:space="preserve">Copies of the final confirmation to be forwarded by Legal to the Asst. Treasurer and his backup for filing. </w:t>
      </w:r>
    </w:p>
    <w:p>
      <w:pPr>
        <w:pStyle w:val="Normal"/>
        <w:rPr>
          <w:sz w:val="24"/>
        </w:rPr>
      </w:pPr>
      <w:r>
        <w:rPr>
          <w:sz w:val="24"/>
        </w:rPr>
      </w:r>
    </w:p>
    <w:p>
      <w:pPr>
        <w:pStyle w:val="Normal"/>
        <w:rPr>
          <w:sz w:val="24"/>
        </w:rPr>
      </w:pPr>
      <w:r>
        <w:rPr>
          <w:sz w:val="24"/>
        </w:rPr>
      </w:r>
    </w:p>
    <w:p>
      <w:pPr>
        <w:pStyle w:val="Heading2"/>
        <w:ind w:hanging="0" w:start="0"/>
        <w:rPr/>
      </w:pPr>
      <w:r>
        <w:rPr/>
        <w:t>Unwind of Initial Trades</w:t>
      </w:r>
    </w:p>
    <w:p>
      <w:pPr>
        <w:pStyle w:val="Normal"/>
        <w:numPr>
          <w:ilvl w:val="0"/>
          <w:numId w:val="2"/>
        </w:numPr>
        <w:rPr>
          <w:sz w:val="24"/>
        </w:rPr>
      </w:pPr>
      <w:r>
        <w:rPr>
          <w:sz w:val="24"/>
        </w:rPr>
        <w:t>Chief Financial Officer to inform Treasurer, Asst. Treasurer, or Asst. Treasurer’s backup that he wants to unwind the initial equity trade by cash settling the total return swap at a price of $X per share and entering into a 12 month share settled forward at the same price.</w:t>
      </w:r>
    </w:p>
    <w:p>
      <w:pPr>
        <w:pStyle w:val="Normal"/>
        <w:numPr>
          <w:ilvl w:val="0"/>
          <w:numId w:val="2"/>
        </w:numPr>
        <w:rPr>
          <w:sz w:val="24"/>
        </w:rPr>
      </w:pPr>
      <w:r>
        <w:rPr>
          <w:sz w:val="24"/>
        </w:rPr>
        <w:t>Treasury person to contact investment bank relationship manager and inform him/her of the desired trade.  Confirm previous agreement to settle at the stock’s daily high.</w:t>
      </w:r>
    </w:p>
    <w:p>
      <w:pPr>
        <w:pStyle w:val="Normal"/>
        <w:numPr>
          <w:ilvl w:val="0"/>
          <w:numId w:val="2"/>
        </w:numPr>
        <w:rPr>
          <w:sz w:val="24"/>
        </w:rPr>
      </w:pPr>
      <w:r>
        <w:rPr>
          <w:sz w:val="24"/>
        </w:rPr>
        <w:t>Treasury person to inform ENE Credit, Legal, and Jill Erwin (x37099) of the amendment to the equity trade.</w:t>
      </w:r>
    </w:p>
    <w:p>
      <w:pPr>
        <w:pStyle w:val="Normal"/>
        <w:rPr>
          <w:sz w:val="24"/>
        </w:rPr>
      </w:pPr>
      <w:r>
        <w:rPr>
          <w:sz w:val="24"/>
        </w:rPr>
      </w:r>
    </w:p>
    <w:p>
      <w:pPr>
        <w:pStyle w:val="Normal"/>
        <w:rPr>
          <w:sz w:val="24"/>
        </w:rPr>
      </w:pPr>
      <w:r>
        <w:rPr>
          <w:sz w:val="24"/>
        </w:rPr>
      </w:r>
    </w:p>
    <w:p>
      <w:pPr>
        <w:pStyle w:val="Heading2"/>
        <w:ind w:hanging="0" w:start="0"/>
        <w:rPr/>
      </w:pPr>
      <w:r>
        <w:rPr/>
        <w:t>Confirmations for Forward Contracts</w:t>
      </w:r>
    </w:p>
    <w:p>
      <w:pPr>
        <w:pStyle w:val="Normal"/>
        <w:numPr>
          <w:ilvl w:val="0"/>
          <w:numId w:val="4"/>
        </w:numPr>
        <w:rPr>
          <w:sz w:val="24"/>
        </w:rPr>
      </w:pPr>
      <w:r>
        <w:rPr>
          <w:sz w:val="24"/>
        </w:rPr>
        <w:t>Same as confirmations for initial equity trades.</w:t>
      </w:r>
    </w:p>
    <w:p>
      <w:pPr>
        <w:pStyle w:val="Normal"/>
        <w:rPr>
          <w:sz w:val="24"/>
        </w:rPr>
      </w:pPr>
      <w:r>
        <w:rPr>
          <w:sz w:val="24"/>
        </w:rPr>
      </w:r>
    </w:p>
    <w:p>
      <w:pPr>
        <w:pStyle w:val="Normal"/>
        <w:rPr>
          <w:sz w:val="24"/>
        </w:rPr>
      </w:pPr>
      <w:r>
        <w:rPr>
          <w:sz w:val="24"/>
        </w:rPr>
      </w:r>
    </w:p>
    <w:p>
      <w:pPr>
        <w:pStyle w:val="Normal"/>
        <w:rPr/>
      </w:pPr>
      <w:r>
        <w:rPr>
          <w:sz w:val="24"/>
          <w:u w:val="single"/>
        </w:rPr>
        <w:t>Notes</w:t>
      </w:r>
      <w:r>
        <w:rPr>
          <w:sz w:val="24"/>
        </w:rPr>
        <w:t>:</w:t>
      </w:r>
    </w:p>
    <w:p>
      <w:pPr>
        <w:pStyle w:val="Normal"/>
        <w:numPr>
          <w:ilvl w:val="0"/>
          <w:numId w:val="3"/>
        </w:numPr>
        <w:rPr>
          <w:sz w:val="24"/>
        </w:rPr>
      </w:pPr>
      <w:r>
        <w:rPr>
          <w:sz w:val="24"/>
        </w:rPr>
        <w:t>We need to clarify availability under the stock buyback authorization and determine whether or not forwards are captured under it.  Rex Rogers concurs that the current authorization is unclear both to this point and to the number of shares currently authorized for buyback (i.e. has it been adjusted for the stock split last year, etc)</w:t>
      </w:r>
    </w:p>
    <w:p>
      <w:pPr>
        <w:pStyle w:val="Normal"/>
        <w:numPr>
          <w:ilvl w:val="0"/>
          <w:numId w:val="3"/>
        </w:numPr>
        <w:rPr>
          <w:sz w:val="24"/>
        </w:rPr>
      </w:pPr>
      <w:r>
        <w:rPr>
          <w:sz w:val="24"/>
        </w:rPr>
        <w:t xml:space="preserve">For both legal and accounting reasons, the forward contracts may not be cash settled for any reason (including bankruptcy of Enron).  </w:t>
      </w:r>
      <w:r>
        <w:rPr>
          <w:sz w:val="24"/>
          <w:u w:val="single"/>
        </w:rPr>
        <w:t>We cannot even list this as an option under the forward confirmation</w:t>
      </w:r>
      <w:r>
        <w:rPr>
          <w:sz w:val="24"/>
        </w:rPr>
        <w:t>.</w:t>
      </w:r>
    </w:p>
    <w:p>
      <w:pPr>
        <w:pStyle w:val="Normal"/>
        <w:numPr>
          <w:ilvl w:val="0"/>
          <w:numId w:val="3"/>
        </w:numPr>
        <w:rPr>
          <w:sz w:val="24"/>
        </w:rPr>
      </w:pPr>
      <w:r>
        <w:rPr>
          <w:sz w:val="24"/>
        </w:rPr>
        <w:t>Giving of registration rights is an important issue in the forward contracts.  If Enron decides to net settle the contract and delivers shares to the investment bank because it is out of the money under the forward, there clearly must be a registration statement.  Registration of the shares underlying the forward is not quite as clear.  The issue comes down to whether or not Enron realizes the benefits or detriments of the sale of the underlying stock.  If the economics of the derivative to Enron are determined by the net proceeds from the sale of stock to the market, then we will have a difficult time arguing against registration of those shares.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2000-06-22T12:16:00Z</dcterms:created>
  <dc:creator>clint freeland</dc:creator>
  <dc:description/>
  <dc:language>en-CA</dc:language>
  <cp:lastModifiedBy>clint freeland</cp:lastModifiedBy>
  <cp:lastPrinted>2000-06-23T08:59:00Z</cp:lastPrinted>
  <dcterms:modified xsi:type="dcterms:W3CDTF">2000-07-05T19:55:00Z</dcterms:modified>
  <cp:revision>5</cp:revision>
  <dc:subject/>
  <dc:title>Procedures for Executing/Documenting/Unwinding ENE Equity Derivatives</dc:title>
</cp:coreProperties>
</file>