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 xml:space="preserve">PROCEDURES FOR APPROVAL OF COUNTERPARTY FOR ENRONONLINE </w:t>
      </w:r>
    </w:p>
    <w:p>
      <w:pPr>
        <w:pStyle w:val="Normal"/>
        <w:jc w:val="center"/>
        <w:rPr>
          <w:b/>
          <w:u w:val="single"/>
        </w:rPr>
      </w:pPr>
      <w:r>
        <w:rPr>
          <w:b/>
          <w:u w:val="single"/>
        </w:rPr>
      </w:r>
    </w:p>
    <w:p>
      <w:pPr>
        <w:pStyle w:val="Normal"/>
        <w:jc w:val="center"/>
        <w:rPr>
          <w:b/>
          <w:u w:val="single"/>
        </w:rPr>
      </w:pPr>
      <w:r>
        <w:rPr>
          <w:b/>
          <w:u w:val="single"/>
        </w:rPr>
        <w:t xml:space="preserve"> </w:t>
      </w:r>
      <w:r>
        <w:rPr>
          <w:b/>
          <w:u w:val="single"/>
        </w:rPr>
        <w:t>ENRON AUSTRALIA - 30 MARCH 2000</w:t>
      </w:r>
    </w:p>
    <w:p>
      <w:pPr>
        <w:pStyle w:val="Normal"/>
        <w:jc w:val="both"/>
        <w:rPr>
          <w:b/>
          <w:u w:val="single"/>
        </w:rPr>
      </w:pPr>
      <w:r>
        <w:rPr>
          <w:b/>
          <w:u w:val="single"/>
        </w:rPr>
      </w:r>
    </w:p>
    <w:p>
      <w:pPr>
        <w:pStyle w:val="Normal"/>
        <w:jc w:val="both"/>
        <w:rPr>
          <w:b/>
        </w:rPr>
      </w:pPr>
      <w:r>
        <w:rPr>
          <w:b/>
        </w:rPr>
      </w:r>
    </w:p>
    <w:p>
      <w:pPr>
        <w:pStyle w:val="Normal"/>
        <w:jc w:val="both"/>
        <w:rPr>
          <w:b/>
        </w:rPr>
      </w:pPr>
      <w:r>
        <w:rPr>
          <w:b/>
        </w:rPr>
      </w:r>
    </w:p>
    <w:p>
      <w:pPr>
        <w:pStyle w:val="Normal"/>
        <w:numPr>
          <w:ilvl w:val="0"/>
          <w:numId w:val="2"/>
        </w:numPr>
        <w:jc w:val="both"/>
        <w:rPr>
          <w:b/>
        </w:rPr>
      </w:pPr>
      <w:r>
        <w:rPr>
          <w:b/>
        </w:rPr>
        <w:t>Legal Status</w:t>
      </w:r>
    </w:p>
    <w:p>
      <w:pPr>
        <w:pStyle w:val="Normal"/>
        <w:jc w:val="both"/>
        <w:rPr>
          <w:b/>
        </w:rPr>
      </w:pPr>
      <w:r>
        <w:rPr>
          <w:b/>
        </w:rPr>
      </w:r>
    </w:p>
    <w:p>
      <w:pPr>
        <w:pStyle w:val="Normal"/>
        <w:numPr>
          <w:ilvl w:val="1"/>
          <w:numId w:val="2"/>
        </w:numPr>
        <w:jc w:val="both"/>
        <w:rPr/>
      </w:pPr>
      <w:r>
        <w:rPr/>
        <w:t>Confirm the following</w:t>
      </w:r>
    </w:p>
    <w:p>
      <w:pPr>
        <w:pStyle w:val="Normal"/>
        <w:ind w:start="720" w:end="0"/>
        <w:jc w:val="both"/>
        <w:rPr/>
      </w:pPr>
      <w:r>
        <w:rPr/>
      </w:r>
    </w:p>
    <w:p>
      <w:pPr>
        <w:pStyle w:val="Normal"/>
        <w:numPr>
          <w:ilvl w:val="0"/>
          <w:numId w:val="3"/>
        </w:numPr>
        <w:jc w:val="both"/>
        <w:rPr/>
      </w:pPr>
      <w:r>
        <w:rPr/>
        <w:t>If an entity is incorporated under the Australian Corporations Law need to check that;</w:t>
      </w:r>
    </w:p>
    <w:p>
      <w:pPr>
        <w:pStyle w:val="Normal"/>
        <w:numPr>
          <w:ilvl w:val="0"/>
          <w:numId w:val="5"/>
        </w:numPr>
        <w:jc w:val="both"/>
        <w:rPr/>
      </w:pPr>
      <w:r>
        <w:rPr/>
        <w:t>name is correct</w:t>
      </w:r>
    </w:p>
    <w:p>
      <w:pPr>
        <w:pStyle w:val="Normal"/>
        <w:numPr>
          <w:ilvl w:val="0"/>
          <w:numId w:val="5"/>
        </w:numPr>
        <w:jc w:val="both"/>
        <w:rPr/>
      </w:pPr>
      <w:r>
        <w:rPr/>
        <w:t>ACN is correct (ASIC website).</w:t>
      </w:r>
    </w:p>
    <w:p>
      <w:pPr>
        <w:pStyle w:val="Normal"/>
        <w:ind w:start="1440" w:end="0"/>
        <w:jc w:val="both"/>
        <w:rPr/>
      </w:pPr>
      <w:r>
        <w:rPr/>
      </w:r>
    </w:p>
    <w:p>
      <w:pPr>
        <w:pStyle w:val="Normal"/>
        <w:numPr>
          <w:ilvl w:val="0"/>
          <w:numId w:val="3"/>
        </w:numPr>
        <w:jc w:val="both"/>
        <w:rPr/>
      </w:pPr>
      <w:r>
        <w:rPr/>
        <w:t>If an entity is not incorporated in Australia but is conducting a business in Australia then need to check that;</w:t>
      </w:r>
    </w:p>
    <w:p>
      <w:pPr>
        <w:pStyle w:val="Normal"/>
        <w:numPr>
          <w:ilvl w:val="0"/>
          <w:numId w:val="5"/>
        </w:numPr>
        <w:jc w:val="both"/>
        <w:rPr/>
      </w:pPr>
      <w:r>
        <w:rPr/>
        <w:t>name is correct</w:t>
      </w:r>
    </w:p>
    <w:p>
      <w:pPr>
        <w:pStyle w:val="Normal"/>
        <w:numPr>
          <w:ilvl w:val="0"/>
          <w:numId w:val="5"/>
        </w:numPr>
        <w:jc w:val="both"/>
        <w:rPr/>
      </w:pPr>
      <w:r>
        <w:rPr/>
        <w:t>place of incorporation quoted</w:t>
      </w:r>
    </w:p>
    <w:p>
      <w:pPr>
        <w:pStyle w:val="Normal"/>
        <w:numPr>
          <w:ilvl w:val="0"/>
          <w:numId w:val="5"/>
        </w:numPr>
        <w:jc w:val="both"/>
        <w:rPr/>
      </w:pPr>
      <w:r>
        <w:rPr/>
        <w:t>ARBN is correct (ASIC website)</w:t>
      </w:r>
    </w:p>
    <w:p>
      <w:pPr>
        <w:pStyle w:val="Normal"/>
        <w:numPr>
          <w:ilvl w:val="0"/>
          <w:numId w:val="5"/>
        </w:numPr>
        <w:jc w:val="both"/>
        <w:rPr/>
      </w:pPr>
      <w:r>
        <w:rPr/>
        <w:t>clearance has been obtained from relevant Enron lawyer that there are no restrictions on it trading power derivatives in Australia.</w:t>
      </w:r>
    </w:p>
    <w:p>
      <w:pPr>
        <w:pStyle w:val="Normal"/>
        <w:ind w:start="1440" w:end="0"/>
        <w:jc w:val="both"/>
        <w:rPr/>
      </w:pPr>
      <w:r>
        <w:rPr/>
      </w:r>
    </w:p>
    <w:p>
      <w:pPr>
        <w:pStyle w:val="Normal"/>
        <w:numPr>
          <w:ilvl w:val="0"/>
          <w:numId w:val="3"/>
        </w:numPr>
        <w:jc w:val="both"/>
        <w:rPr/>
      </w:pPr>
      <w:r>
        <w:rPr/>
        <w:t>If an entity is neither incorporated or conducting a business in Australia check that</w:t>
      </w:r>
    </w:p>
    <w:p>
      <w:pPr>
        <w:pStyle w:val="Normal"/>
        <w:numPr>
          <w:ilvl w:val="0"/>
          <w:numId w:val="5"/>
        </w:numPr>
        <w:jc w:val="both"/>
        <w:rPr/>
      </w:pPr>
      <w:r>
        <w:rPr/>
        <w:t>name is correct</w:t>
      </w:r>
    </w:p>
    <w:p>
      <w:pPr>
        <w:pStyle w:val="Normal"/>
        <w:numPr>
          <w:ilvl w:val="0"/>
          <w:numId w:val="5"/>
        </w:numPr>
        <w:jc w:val="both"/>
        <w:rPr/>
      </w:pPr>
      <w:r>
        <w:rPr/>
        <w:t>place of incorporation quoted</w:t>
      </w:r>
    </w:p>
    <w:p>
      <w:pPr>
        <w:pStyle w:val="Normal"/>
        <w:numPr>
          <w:ilvl w:val="0"/>
          <w:numId w:val="5"/>
        </w:numPr>
        <w:jc w:val="both"/>
        <w:rPr/>
      </w:pPr>
      <w:r>
        <w:rPr/>
        <w:t>clearance has been obtained from relevant Enron lawyer that entity properly constituted  in its resident jurisdiction and no restrictions on it trading power derivatives in Australia..</w:t>
      </w:r>
    </w:p>
    <w:p>
      <w:pPr>
        <w:pStyle w:val="Normal"/>
        <w:ind w:start="1440" w:end="0"/>
        <w:jc w:val="both"/>
        <w:rPr/>
      </w:pPr>
      <w:r>
        <w:rPr/>
      </w:r>
    </w:p>
    <w:p>
      <w:pPr>
        <w:pStyle w:val="Normal"/>
        <w:numPr>
          <w:ilvl w:val="0"/>
          <w:numId w:val="3"/>
        </w:numPr>
        <w:jc w:val="both"/>
        <w:rPr/>
      </w:pPr>
      <w:r>
        <w:rPr/>
        <w:t>If the entity is incorporated under special legislation or involves a joint venture, partnership or trust structure then in addition to the requirements of  (a)- (c) above check  the scope of its powers to contract.</w:t>
      </w:r>
    </w:p>
    <w:p>
      <w:pPr>
        <w:pStyle w:val="Normal"/>
        <w:jc w:val="both"/>
        <w:rPr/>
      </w:pPr>
      <w:r>
        <w:rPr/>
      </w:r>
    </w:p>
    <w:p>
      <w:pPr>
        <w:pStyle w:val="Normal"/>
        <w:numPr>
          <w:ilvl w:val="1"/>
          <w:numId w:val="2"/>
        </w:numPr>
        <w:jc w:val="both"/>
        <w:rPr/>
      </w:pPr>
      <w:r>
        <w:rPr/>
        <w:t>Regulatory Obligations</w:t>
      </w:r>
    </w:p>
    <w:p>
      <w:pPr>
        <w:pStyle w:val="Normal"/>
        <w:jc w:val="both"/>
        <w:rPr/>
      </w:pPr>
      <w:r>
        <w:rPr/>
      </w:r>
    </w:p>
    <w:p>
      <w:pPr>
        <w:pStyle w:val="Normal"/>
        <w:ind w:firstLine="720" w:start="720" w:end="0"/>
        <w:jc w:val="both"/>
        <w:rPr/>
      </w:pPr>
      <w:r>
        <w:rPr/>
        <w:t>Confirm that counterparty will trade as principal.</w:t>
      </w:r>
    </w:p>
    <w:p>
      <w:pPr>
        <w:pStyle w:val="Normal"/>
        <w:jc w:val="both"/>
        <w:rPr/>
      </w:pPr>
      <w:r>
        <w:rPr/>
      </w:r>
    </w:p>
    <w:p>
      <w:pPr>
        <w:pStyle w:val="Normal"/>
        <w:numPr>
          <w:ilvl w:val="1"/>
          <w:numId w:val="2"/>
        </w:numPr>
        <w:jc w:val="both"/>
        <w:rPr/>
      </w:pPr>
      <w:r>
        <w:rPr/>
        <w:t>Execution of Password Agreement</w:t>
      </w:r>
    </w:p>
    <w:p>
      <w:pPr>
        <w:pStyle w:val="Normal"/>
        <w:ind w:start="720" w:end="0"/>
        <w:jc w:val="both"/>
        <w:rPr/>
      </w:pPr>
      <w:r>
        <w:rPr/>
      </w:r>
    </w:p>
    <w:p>
      <w:pPr>
        <w:pStyle w:val="Normal"/>
        <w:ind w:start="1440" w:end="0"/>
        <w:jc w:val="both"/>
        <w:rPr/>
      </w:pPr>
      <w:r>
        <w:rPr/>
        <w:t>Ensure Password Agreement has been executed by an authorised signatory and in accordance with the legal requirements in the place where execution occurs.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numPr>
          <w:ilvl w:val="1"/>
          <w:numId w:val="2"/>
        </w:numPr>
        <w:jc w:val="both"/>
        <w:rPr/>
      </w:pPr>
      <w:r>
        <w:rPr/>
        <w:t>Feasibility of enforcement</w:t>
      </w:r>
    </w:p>
    <w:p>
      <w:pPr>
        <w:pStyle w:val="Normal"/>
        <w:jc w:val="both"/>
        <w:rPr/>
      </w:pPr>
      <w:r>
        <w:rPr/>
      </w:r>
    </w:p>
    <w:p>
      <w:pPr>
        <w:pStyle w:val="Normal"/>
        <w:numPr>
          <w:ilvl w:val="0"/>
          <w:numId w:val="6"/>
        </w:numPr>
        <w:tabs>
          <w:tab w:val="clear" w:pos="720"/>
          <w:tab w:val="left" w:pos="1530" w:leader="none"/>
        </w:tabs>
        <w:ind w:hanging="405" w:start="1530" w:end="0"/>
        <w:jc w:val="both"/>
        <w:rPr/>
      </w:pPr>
      <w:r>
        <w:rPr/>
        <w:t>Ensure any guarantees or other credit support documents would be enforceable in respect of a debt owed to or judgement obtained by Enron Australia Finance Pty Ltd.</w:t>
      </w:r>
    </w:p>
    <w:p>
      <w:pPr>
        <w:pStyle w:val="Normal"/>
        <w:numPr>
          <w:ilvl w:val="0"/>
          <w:numId w:val="6"/>
        </w:numPr>
        <w:tabs>
          <w:tab w:val="clear" w:pos="720"/>
          <w:tab w:val="left" w:pos="1530" w:leader="none"/>
        </w:tabs>
        <w:ind w:hanging="405" w:start="1530" w:end="0"/>
        <w:jc w:val="both"/>
        <w:rPr/>
      </w:pPr>
      <w:r>
        <w:rPr/>
        <w:t>If the counterparty has no assets/presence in Australia then the enforceability of an Australian judgment in a jurisdiction where assets are located must be assessed. An assumption can be made that a judgment could be enforced in the US.</w:t>
      </w:r>
    </w:p>
    <w:p>
      <w:pPr>
        <w:pStyle w:val="Normal"/>
        <w:jc w:val="both"/>
        <w:rPr/>
      </w:pPr>
      <w:r>
        <w:rPr/>
      </w:r>
    </w:p>
    <w:p>
      <w:pPr>
        <w:pStyle w:val="Normal"/>
        <w:jc w:val="both"/>
        <w:rPr/>
      </w:pPr>
      <w:r>
        <w:rPr/>
      </w:r>
    </w:p>
    <w:p>
      <w:pPr>
        <w:pStyle w:val="Normal"/>
        <w:numPr>
          <w:ilvl w:val="1"/>
          <w:numId w:val="2"/>
        </w:numPr>
        <w:jc w:val="both"/>
        <w:rPr/>
      </w:pPr>
      <w:r>
        <w:rPr/>
        <w:t>Reasonableness Test</w:t>
      </w:r>
    </w:p>
    <w:p>
      <w:pPr>
        <w:pStyle w:val="Normal"/>
        <w:jc w:val="both"/>
        <w:rPr/>
      </w:pPr>
      <w:r>
        <w:rPr/>
      </w:r>
    </w:p>
    <w:p>
      <w:pPr>
        <w:pStyle w:val="BodyTextIndent"/>
        <w:rPr/>
      </w:pPr>
      <w:r>
        <w:rPr/>
        <w:t xml:space="preserve">When a counterparty has no connection with the Australian electricity market a determination needs to be made whether inviting them to trade Australian Power could lead to a claim of misleading/deceptive conduct under the </w:t>
      </w:r>
      <w:r>
        <w:rPr>
          <w:i/>
        </w:rPr>
        <w:t>Trade Practices Act 1974</w:t>
      </w:r>
      <w:r>
        <w:rPr/>
        <w:t>.</w:t>
      </w:r>
    </w:p>
    <w:p>
      <w:pPr>
        <w:pStyle w:val="Normal"/>
        <w:ind w:start="1440" w:end="0"/>
        <w:jc w:val="both"/>
        <w:rPr/>
      </w:pPr>
      <w:r>
        <w:rPr/>
      </w:r>
    </w:p>
    <w:p>
      <w:pPr>
        <w:pStyle w:val="Normal"/>
        <w:ind w:start="1440" w:end="0"/>
        <w:jc w:val="both"/>
        <w:rPr/>
      </w:pPr>
      <w:r>
        <w:rPr/>
        <w:t>(</w:t>
      </w:r>
      <w:r>
        <w:rPr>
          <w:i/>
        </w:rPr>
        <w:t>We offer access to a product that acquires familiarity to Australian power pool prices, Australian AFMA documentation and the National Electricity Code. Where Enron knows a counterparty does not have access to this information, there is a possibility that encouraging such a party to use the website may be found to be misleading/deceptive. In Australia this would be grounds for damages and the liability could not be extinguished by a contractual provision.)</w:t>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numPr>
          <w:ilvl w:val="0"/>
          <w:numId w:val="2"/>
        </w:numPr>
        <w:jc w:val="both"/>
        <w:rPr>
          <w:b/>
        </w:rPr>
      </w:pPr>
      <w:r>
        <w:rPr>
          <w:b/>
        </w:rPr>
        <w:t>Credit Clearance</w:t>
      </w:r>
    </w:p>
    <w:p>
      <w:pPr>
        <w:pStyle w:val="Normal"/>
        <w:jc w:val="both"/>
        <w:rPr>
          <w:b/>
        </w:rPr>
      </w:pPr>
      <w:r>
        <w:rPr>
          <w:b/>
        </w:rPr>
      </w:r>
    </w:p>
    <w:p>
      <w:pPr>
        <w:pStyle w:val="Normal"/>
        <w:ind w:start="1440" w:end="0"/>
        <w:jc w:val="both"/>
        <w:rPr/>
      </w:pPr>
      <w:r>
        <w:rPr/>
        <w:t>In addition to other requirements counterparties must have at least A$10 million in assets. If this s not the case, then further legal review would be required to determine if regulatory requirements would be met.</w:t>
      </w:r>
    </w:p>
    <w:p>
      <w:pPr>
        <w:pStyle w:val="Normal"/>
        <w:jc w:val="both"/>
        <w:rPr>
          <w:b/>
        </w:rPr>
      </w:pPr>
      <w:r>
        <w:rPr>
          <w:b/>
        </w:rPr>
      </w:r>
    </w:p>
    <w:p>
      <w:pPr>
        <w:pStyle w:val="Normal"/>
        <w:jc w:val="both"/>
        <w:rPr>
          <w:b/>
        </w:rPr>
      </w:pPr>
      <w:r>
        <w:rPr>
          <w:b/>
        </w:rPr>
        <w:t>3. Tax</w:t>
      </w:r>
    </w:p>
    <w:p>
      <w:pPr>
        <w:pStyle w:val="Normal"/>
        <w:jc w:val="both"/>
        <w:rPr>
          <w:b/>
        </w:rPr>
      </w:pPr>
      <w:r>
        <w:rPr>
          <w:b/>
        </w:rPr>
      </w:r>
    </w:p>
    <w:p>
      <w:pPr>
        <w:pStyle w:val="Normal"/>
        <w:numPr>
          <w:ilvl w:val="0"/>
          <w:numId w:val="4"/>
        </w:numPr>
        <w:jc w:val="both"/>
        <w:rPr/>
      </w:pPr>
      <w:r>
        <w:rPr/>
        <w:t>Where Counterparty is located outside Australia then the GTCs will be satisfactory provided the country of residence has a double tax treaty with Australia. Australia has double tax agreements with United Kingdom, United States, France, Greece, Belgium, the Philippines, Switzerland, Malaysia Sweden, Denmark, Ireland, Italy, Korea, Norway, Malta, Finland, Austria, China, Papua New Guinea, Thailand, Sri Lanka, Fiji, Hungary, Kiribati, India, Poland, Indonesia, Vietnam, Spain, the Czech Republic and Taiwan.</w:t>
      </w:r>
    </w:p>
    <w:p>
      <w:pPr>
        <w:pStyle w:val="Normal"/>
        <w:jc w:val="both"/>
        <w:rPr/>
      </w:pPr>
      <w:r>
        <w:rPr/>
      </w:r>
    </w:p>
    <w:p>
      <w:pPr>
        <w:pStyle w:val="Normal"/>
        <w:ind w:start="1440" w:end="0"/>
        <w:jc w:val="both"/>
        <w:rPr/>
      </w:pPr>
      <w:r>
        <w:rPr/>
        <w:t>Note that Australia does not have a double taxation agreement with Hong Kong (nor does the agreement with China automatically extend to Hong Kong now that is has reverted to China).</w:t>
      </w:r>
    </w:p>
    <w:p>
      <w:pPr>
        <w:pStyle w:val="Normal"/>
        <w:jc w:val="both"/>
        <w:rPr/>
      </w:pPr>
      <w:r>
        <w:rPr/>
      </w:r>
    </w:p>
    <w:p>
      <w:pPr>
        <w:pStyle w:val="Normal"/>
        <w:numPr>
          <w:ilvl w:val="0"/>
          <w:numId w:val="4"/>
        </w:numPr>
        <w:jc w:val="both"/>
        <w:rPr/>
      </w:pPr>
      <w:r>
        <w:rPr/>
        <w:t>Counterparties from other countries will require specific tax clearance.</w:t>
      </w:r>
    </w:p>
    <w:p>
      <w:pPr>
        <w:pStyle w:val="Normal"/>
        <w:jc w:val="both"/>
        <w:rPr/>
      </w:pPr>
      <w:r>
        <w:rPr/>
      </w:r>
    </w:p>
    <w:p>
      <w:pPr>
        <w:pStyle w:val="Normal"/>
        <w:numPr>
          <w:ilvl w:val="0"/>
          <w:numId w:val="2"/>
        </w:numPr>
        <w:jc w:val="both"/>
        <w:rPr>
          <w:b/>
        </w:rPr>
      </w:pPr>
      <w:r>
        <w:rPr>
          <w:b/>
        </w:rPr>
        <w:t>Settlements Procedures</w:t>
      </w:r>
    </w:p>
    <w:p>
      <w:pPr>
        <w:pStyle w:val="Normal"/>
        <w:jc w:val="both"/>
        <w:rPr>
          <w:b/>
        </w:rPr>
      </w:pPr>
      <w:r>
        <w:rPr>
          <w:b/>
        </w:rPr>
      </w:r>
    </w:p>
    <w:p>
      <w:pPr>
        <w:pStyle w:val="Normal"/>
        <w:ind w:start="1440" w:end="0"/>
        <w:jc w:val="both"/>
        <w:rPr/>
      </w:pPr>
      <w:r>
        <w:rPr/>
        <w:t>If a counterparty is not a member of Austraclear then settlement details must be specified in the Confirmation.</w:t>
      </w:r>
    </w:p>
    <w:p>
      <w:pPr>
        <w:pStyle w:val="Normal"/>
        <w:ind w:hanging="360" w:start="1440" w:end="0"/>
        <w:jc w:val="both"/>
        <w:rPr/>
      </w:pPr>
      <w:r>
        <w:rPr/>
      </w:r>
    </w:p>
    <w:p>
      <w:pPr>
        <w:pStyle w:val="Normal"/>
        <w:ind w:start="720" w:end="0"/>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/mnt/main-storage/datasets/enron-docs/doc/Procedures_for_Approval_30.3.00.doc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6">
    <w:lvl w:ilvl="0">
      <w:start w:val="1"/>
      <w:numFmt w:val="lowerLetter"/>
      <w:lvlText w:val="(%1)"/>
      <w:lvlJc w:val="start"/>
      <w:pPr>
        <w:tabs>
          <w:tab w:val="num" w:pos="1125"/>
        </w:tabs>
        <w:ind w:start="1125" w:hanging="405"/>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AU" w:eastAsia="zh-CN" w:bidi="hi-IN"/>
    </w:rPr>
  </w:style>
  <w:style w:type="paragraph" w:styleId="Heading1">
    <w:name w:val="heading 1"/>
    <w:basedOn w:val="Normal"/>
    <w:next w:val="Normal"/>
    <w:qFormat/>
    <w:pPr>
      <w:keepNext w:val="true"/>
      <w:numPr>
        <w:ilvl w:val="0"/>
        <w:numId w:val="1"/>
      </w:numPr>
      <w:spacing w:before="240" w:after="60"/>
      <w:outlineLvl w:val="0"/>
    </w:pPr>
    <w:rPr>
      <w:b/>
      <w:caps/>
      <w:kern w:val="2"/>
    </w:rPr>
  </w:style>
  <w:style w:type="paragraph" w:styleId="Heading2">
    <w:name w:val="heading 2"/>
    <w:basedOn w:val="Normal"/>
    <w:next w:val="Normal"/>
    <w:qFormat/>
    <w:pPr>
      <w:keepNext w:val="true"/>
      <w:numPr>
        <w:ilvl w:val="1"/>
        <w:numId w:val="1"/>
      </w:numPr>
      <w:spacing w:before="240" w:after="60"/>
      <w:outlineLvl w:val="1"/>
    </w:pPr>
    <w:rPr>
      <w:b/>
    </w:rPr>
  </w:style>
  <w:style w:type="paragraph" w:styleId="Heading3">
    <w:name w:val="heading 3"/>
    <w:basedOn w:val="Normal"/>
    <w:next w:val="Normal"/>
    <w:qFormat/>
    <w:pPr>
      <w:keepNext w:val="true"/>
      <w:numPr>
        <w:ilvl w:val="2"/>
        <w:numId w:val="1"/>
      </w:numPr>
      <w:spacing w:before="240" w:after="60"/>
      <w:outlineLvl w:val="2"/>
    </w:pPr>
    <w:rPr>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2000-03-31T01:43:00Z</dcterms:created>
  <dc:creator>atraino</dc:creator>
  <dc:description/>
  <dc:language>en-CA</dc:language>
  <cp:lastModifiedBy>David Minns</cp:lastModifiedBy>
  <cp:lastPrinted>2000-03-31T14:13:00Z</cp:lastPrinted>
  <dcterms:modified xsi:type="dcterms:W3CDTF">2000-03-31T06:26:00Z</dcterms:modified>
  <cp:revision>5</cp:revision>
  <dc:subject/>
  <dc:title>PROCEDURES FOR APPROVAL OF P</dc:title>
</cp:coreProperties>
</file>