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sz w:val="32"/>
        </w:rPr>
      </w:pPr>
      <w:r>
        <w:rPr>
          <w:sz w:val="32"/>
        </w:rPr>
        <w:t>Procedures for Execution of Publicly Traded and Restricted Securities</w:t>
      </w:r>
    </w:p>
    <w:p>
      <w:pPr>
        <w:pStyle w:val="Normal"/>
        <w:rPr>
          <w:sz w:val="32"/>
        </w:rPr>
      </w:pPr>
      <w:r>
        <w:rPr>
          <w:sz w:val="32"/>
        </w:rPr>
      </w:r>
    </w:p>
    <w:p>
      <w:pPr>
        <w:pStyle w:val="Normal"/>
        <w:rPr/>
      </w:pPr>
      <w:r>
        <w:rPr/>
      </w:r>
    </w:p>
    <w:p>
      <w:pPr>
        <w:pStyle w:val="Normal"/>
        <w:numPr>
          <w:ilvl w:val="0"/>
          <w:numId w:val="7"/>
        </w:numPr>
        <w:rPr>
          <w:sz w:val="24"/>
        </w:rPr>
      </w:pPr>
      <w:r>
        <w:rPr>
          <w:sz w:val="24"/>
        </w:rPr>
        <w:t xml:space="preserve">The Business Unit should consult with Enron’s Compliance Officer.  The Compliance Officer will liase with the appropriate legal group to determine if the security is “freely tradable” (i.e. no restrictions).  </w:t>
      </w:r>
    </w:p>
    <w:p>
      <w:pPr>
        <w:pStyle w:val="Normal"/>
        <w:rPr>
          <w:sz w:val="24"/>
        </w:rPr>
      </w:pPr>
      <w:r>
        <w:rPr>
          <w:sz w:val="24"/>
        </w:rPr>
      </w:r>
    </w:p>
    <w:p>
      <w:pPr>
        <w:pStyle w:val="Normal"/>
        <w:numPr>
          <w:ilvl w:val="0"/>
          <w:numId w:val="7"/>
        </w:numPr>
        <w:rPr>
          <w:sz w:val="24"/>
        </w:rPr>
      </w:pPr>
      <w:r>
        <w:rPr>
          <w:sz w:val="24"/>
        </w:rPr>
        <w:t xml:space="preserve">A signed disclosure statement is required by Compliance stating that appropriately determined members of the business unit are not in possession of material non-public information. </w:t>
      </w:r>
    </w:p>
    <w:p>
      <w:pPr>
        <w:pStyle w:val="Normal"/>
        <w:rPr>
          <w:sz w:val="24"/>
        </w:rPr>
      </w:pPr>
      <w:r>
        <w:rPr>
          <w:sz w:val="24"/>
        </w:rPr>
      </w:r>
    </w:p>
    <w:p>
      <w:pPr>
        <w:pStyle w:val="Normal"/>
        <w:numPr>
          <w:ilvl w:val="0"/>
          <w:numId w:val="7"/>
        </w:numPr>
        <w:rPr>
          <w:sz w:val="24"/>
        </w:rPr>
      </w:pPr>
      <w:r>
        <w:rPr>
          <w:sz w:val="24"/>
        </w:rPr>
        <w:t>The Financial Trading Desk requires these items before trade discussions and trade execution occur:</w:t>
      </w:r>
    </w:p>
    <w:p>
      <w:pPr>
        <w:pStyle w:val="Normal"/>
        <w:numPr>
          <w:ilvl w:val="0"/>
          <w:numId w:val="5"/>
        </w:numPr>
        <w:tabs>
          <w:tab w:val="left" w:pos="720" w:leader="none"/>
        </w:tabs>
        <w:ind w:hanging="360" w:start="720" w:end="0"/>
        <w:rPr>
          <w:sz w:val="24"/>
        </w:rPr>
      </w:pPr>
      <w:r>
        <w:rPr>
          <w:sz w:val="24"/>
        </w:rPr>
        <w:t>For trade value &gt; $500,000, a copy of the executed DASH is required by the Financial Trading Desk - Operations.  Disclosure statement verbage should be included in the DASH documentation.</w:t>
      </w:r>
    </w:p>
    <w:p>
      <w:pPr>
        <w:pStyle w:val="Normal"/>
        <w:ind w:start="360" w:end="0"/>
        <w:rPr>
          <w:sz w:val="24"/>
        </w:rPr>
      </w:pPr>
      <w:r>
        <w:rPr>
          <w:sz w:val="24"/>
        </w:rPr>
      </w:r>
    </w:p>
    <w:p>
      <w:pPr>
        <w:pStyle w:val="Normal"/>
        <w:numPr>
          <w:ilvl w:val="0"/>
          <w:numId w:val="5"/>
        </w:numPr>
        <w:tabs>
          <w:tab w:val="left" w:pos="720" w:leader="none"/>
        </w:tabs>
        <w:ind w:hanging="360" w:start="720" w:end="0"/>
        <w:rPr>
          <w:sz w:val="24"/>
        </w:rPr>
      </w:pPr>
      <w:r>
        <w:rPr>
          <w:sz w:val="24"/>
        </w:rPr>
        <w:t>For trade value &lt; $500,000 an internal memo authorizing the trade is needed from VP level or above.</w:t>
      </w:r>
    </w:p>
    <w:p>
      <w:pPr>
        <w:pStyle w:val="Normal"/>
        <w:ind w:start="360" w:end="0"/>
        <w:rPr>
          <w:sz w:val="24"/>
        </w:rPr>
      </w:pPr>
      <w:r>
        <w:rPr>
          <w:sz w:val="24"/>
        </w:rPr>
      </w:r>
    </w:p>
    <w:p>
      <w:pPr>
        <w:pStyle w:val="Normal"/>
        <w:numPr>
          <w:ilvl w:val="0"/>
          <w:numId w:val="5"/>
        </w:numPr>
        <w:tabs>
          <w:tab w:val="left" w:pos="720" w:leader="none"/>
        </w:tabs>
        <w:ind w:hanging="360" w:start="720" w:end="0"/>
        <w:rPr>
          <w:sz w:val="24"/>
        </w:rPr>
      </w:pPr>
      <w:r>
        <w:rPr>
          <w:sz w:val="24"/>
        </w:rPr>
        <w:t>Enron’s Compliance Officer approval has been received by Operations.    Verbal or email from Enron’s Compliance Officer to Financial Trading Risk Management is acceptable.</w:t>
      </w:r>
    </w:p>
    <w:p>
      <w:pPr>
        <w:pStyle w:val="Normal"/>
        <w:rPr>
          <w:sz w:val="24"/>
        </w:rPr>
      </w:pPr>
      <w:r>
        <w:rPr>
          <w:sz w:val="24"/>
        </w:rPr>
      </w:r>
    </w:p>
    <w:p>
      <w:pPr>
        <w:pStyle w:val="Normal"/>
        <w:numPr>
          <w:ilvl w:val="0"/>
          <w:numId w:val="7"/>
        </w:numPr>
        <w:rPr>
          <w:sz w:val="24"/>
        </w:rPr>
      </w:pPr>
      <w:r>
        <w:rPr>
          <w:sz w:val="24"/>
        </w:rPr>
        <w:t>Lowering of Chinese Wall and Market Color</w:t>
      </w:r>
    </w:p>
    <w:p>
      <w:pPr>
        <w:pStyle w:val="BodyTextIndent"/>
        <w:numPr>
          <w:ilvl w:val="0"/>
          <w:numId w:val="3"/>
        </w:numPr>
        <w:tabs>
          <w:tab w:val="left" w:pos="720" w:leader="none"/>
        </w:tabs>
        <w:ind w:hanging="360" w:start="720" w:end="0"/>
        <w:rPr/>
      </w:pPr>
      <w:r>
        <w:rPr/>
        <w:t>Once Financial Trading Risk Management has an executed Dash and Compliance Officer authorization, Financial Trading Risk Management will notify the Financial Trading Desk that discussion with the business unit may now occur to set trade execution guidelines and trade execution may occur if all administrative work is complete.</w:t>
      </w:r>
    </w:p>
    <w:p>
      <w:pPr>
        <w:pStyle w:val="Normal"/>
        <w:ind w:start="360" w:end="0"/>
        <w:rPr>
          <w:sz w:val="24"/>
        </w:rPr>
      </w:pPr>
      <w:r>
        <w:rPr>
          <w:sz w:val="24"/>
        </w:rPr>
      </w:r>
    </w:p>
    <w:p>
      <w:pPr>
        <w:pStyle w:val="Normal"/>
        <w:numPr>
          <w:ilvl w:val="0"/>
          <w:numId w:val="3"/>
        </w:numPr>
        <w:tabs>
          <w:tab w:val="left" w:pos="720" w:leader="none"/>
        </w:tabs>
        <w:ind w:hanging="360" w:start="720" w:end="0"/>
        <w:rPr>
          <w:sz w:val="24"/>
        </w:rPr>
      </w:pPr>
      <w:r>
        <w:rPr>
          <w:sz w:val="24"/>
        </w:rPr>
        <w:t xml:space="preserve">The commercial person may then contact the trader to discuss market color in the security, trading liquidity and price and execution guidelines. </w:t>
        <w:br/>
      </w:r>
    </w:p>
    <w:p>
      <w:pPr>
        <w:pStyle w:val="Normal"/>
        <w:numPr>
          <w:ilvl w:val="0"/>
          <w:numId w:val="3"/>
        </w:numPr>
        <w:tabs>
          <w:tab w:val="left" w:pos="720" w:leader="none"/>
        </w:tabs>
        <w:ind w:hanging="360" w:start="720" w:end="0"/>
        <w:rPr>
          <w:sz w:val="24"/>
        </w:rPr>
      </w:pPr>
      <w:r>
        <w:rPr>
          <w:sz w:val="24"/>
        </w:rPr>
        <w:t xml:space="preserve">After this discussion and the agreement of trading execution guidelines, the Chinese wall will be raised up again. </w:t>
        <w:br/>
      </w:r>
    </w:p>
    <w:p>
      <w:pPr>
        <w:pStyle w:val="Normal"/>
        <w:numPr>
          <w:ilvl w:val="0"/>
          <w:numId w:val="7"/>
        </w:numPr>
        <w:rPr>
          <w:sz w:val="24"/>
        </w:rPr>
      </w:pPr>
      <w:r>
        <w:rPr>
          <w:sz w:val="24"/>
        </w:rPr>
        <w:t xml:space="preserve">Purchase or short sell of a security (or sale of a stock held by Enron in certificate form): </w:t>
      </w:r>
    </w:p>
    <w:p>
      <w:pPr>
        <w:pStyle w:val="BodyTextIndent"/>
        <w:numPr>
          <w:ilvl w:val="0"/>
          <w:numId w:val="2"/>
        </w:numPr>
        <w:tabs>
          <w:tab w:val="left" w:pos="720" w:leader="none"/>
        </w:tabs>
        <w:ind w:hanging="360" w:start="720" w:end="0"/>
        <w:rPr/>
      </w:pPr>
      <w:r>
        <w:rPr/>
        <w:t xml:space="preserve">An account may need to be established with the primebroker, if one does not exist or is not in the desired legal entity’s name.  The legal owner of the Certificate needs to match the prime broker account owner.   The primebroker documentation requirements to open a new account include a corporate resolution, trading authorization, W-9 form, authorization to transfer funds and a Prime Broker Margin Agreement.  Documentation required is facilitated through ENA legal department. </w:t>
      </w:r>
    </w:p>
    <w:p>
      <w:pPr>
        <w:pStyle w:val="BodyTextIndent"/>
        <w:rPr/>
      </w:pPr>
      <w:r>
        <w:rPr/>
      </w:r>
    </w:p>
    <w:p>
      <w:pPr>
        <w:pStyle w:val="Normal"/>
        <w:numPr>
          <w:ilvl w:val="0"/>
          <w:numId w:val="2"/>
        </w:numPr>
        <w:tabs>
          <w:tab w:val="left" w:pos="720" w:leader="none"/>
        </w:tabs>
        <w:ind w:hanging="360" w:start="720" w:end="0"/>
        <w:rPr>
          <w:sz w:val="24"/>
        </w:rPr>
      </w:pPr>
      <w:r>
        <w:rPr>
          <w:sz w:val="24"/>
        </w:rPr>
        <w:t>Shares from purchases need to be fully funded – funds wired  need to be received by the prime broker on trade date plus one.  Financial Trading Risk Management will coordinate this process.</w:t>
      </w:r>
    </w:p>
    <w:p>
      <w:pPr>
        <w:pStyle w:val="Normal"/>
        <w:rPr>
          <w:sz w:val="24"/>
        </w:rPr>
      </w:pPr>
      <w:r>
        <w:rPr>
          <w:sz w:val="24"/>
        </w:rPr>
      </w:r>
    </w:p>
    <w:p>
      <w:pPr>
        <w:pStyle w:val="Normal"/>
        <w:numPr>
          <w:ilvl w:val="0"/>
          <w:numId w:val="2"/>
        </w:numPr>
        <w:tabs>
          <w:tab w:val="left" w:pos="720" w:leader="none"/>
        </w:tabs>
        <w:ind w:hanging="360" w:start="720" w:end="0"/>
        <w:rPr>
          <w:sz w:val="24"/>
        </w:rPr>
      </w:pPr>
      <w:r>
        <w:rPr>
          <w:sz w:val="24"/>
        </w:rPr>
        <w:t>Proceeds from short sells will accumulate with interest in the account until such time that the position is closed.  Only then can funds be wired at the business unit’s direction.</w:t>
      </w:r>
    </w:p>
    <w:p>
      <w:pPr>
        <w:pStyle w:val="Normal"/>
        <w:rPr>
          <w:sz w:val="24"/>
        </w:rPr>
      </w:pPr>
      <w:r>
        <w:rPr>
          <w:sz w:val="24"/>
        </w:rPr>
      </w:r>
    </w:p>
    <w:p>
      <w:pPr>
        <w:pStyle w:val="Normal"/>
        <w:numPr>
          <w:ilvl w:val="0"/>
          <w:numId w:val="7"/>
        </w:numPr>
        <w:rPr>
          <w:sz w:val="24"/>
        </w:rPr>
      </w:pPr>
      <w:r>
        <w:rPr>
          <w:sz w:val="24"/>
        </w:rPr>
        <w:t xml:space="preserve">Sale of a security (eg. sale of private placements, restricted or 144A):  </w:t>
      </w:r>
    </w:p>
    <w:p>
      <w:pPr>
        <w:pStyle w:val="Normal"/>
        <w:numPr>
          <w:ilvl w:val="0"/>
          <w:numId w:val="6"/>
        </w:numPr>
        <w:tabs>
          <w:tab w:val="left" w:pos="720" w:leader="none"/>
        </w:tabs>
        <w:ind w:hanging="360" w:start="720" w:end="0"/>
        <w:rPr>
          <w:sz w:val="24"/>
        </w:rPr>
      </w:pPr>
      <w:r>
        <w:rPr>
          <w:sz w:val="24"/>
        </w:rPr>
        <w:t>Need to identify where the shares are located and under whose name are they registered.  If the shares are in the corporate vault, the business unit is required to get them moved.  (please provide a copy of the Stock Certificate, front and back, to Operations as soon as possible.)</w:t>
      </w:r>
    </w:p>
    <w:p>
      <w:pPr>
        <w:pStyle w:val="Normal"/>
        <w:ind w:start="360" w:end="0"/>
        <w:rPr>
          <w:sz w:val="24"/>
        </w:rPr>
      </w:pPr>
      <w:r>
        <w:rPr>
          <w:sz w:val="24"/>
        </w:rPr>
      </w:r>
    </w:p>
    <w:p>
      <w:pPr>
        <w:pStyle w:val="Normal"/>
        <w:numPr>
          <w:ilvl w:val="0"/>
          <w:numId w:val="6"/>
        </w:numPr>
        <w:tabs>
          <w:tab w:val="left" w:pos="720" w:leader="none"/>
        </w:tabs>
        <w:ind w:hanging="360" w:start="720" w:end="0"/>
        <w:rPr>
          <w:sz w:val="24"/>
        </w:rPr>
      </w:pPr>
      <w:r>
        <w:rPr>
          <w:sz w:val="24"/>
        </w:rPr>
        <w:t>The transfer agent will need to re-register the shares under “street name” and move them into an account established with the primebroker.  Documents required to register shares under “street name” are stock power and corporate resolution.</w:t>
      </w:r>
    </w:p>
    <w:p>
      <w:pPr>
        <w:pStyle w:val="Normal"/>
        <w:ind w:start="360" w:end="0"/>
        <w:rPr>
          <w:sz w:val="24"/>
        </w:rPr>
      </w:pPr>
      <w:r>
        <w:rPr>
          <w:sz w:val="24"/>
        </w:rPr>
      </w:r>
    </w:p>
    <w:p>
      <w:pPr>
        <w:pStyle w:val="Normal"/>
        <w:numPr>
          <w:ilvl w:val="0"/>
          <w:numId w:val="6"/>
        </w:numPr>
        <w:tabs>
          <w:tab w:val="left" w:pos="720" w:leader="none"/>
        </w:tabs>
        <w:ind w:hanging="360" w:start="720" w:end="0"/>
        <w:rPr>
          <w:sz w:val="24"/>
        </w:rPr>
      </w:pPr>
      <w:r>
        <w:rPr>
          <w:sz w:val="24"/>
        </w:rPr>
        <w:t>Time frames for transfer – two weeks to 4 weeks (may take longer).</w:t>
      </w:r>
    </w:p>
    <w:p>
      <w:pPr>
        <w:pStyle w:val="Normal"/>
        <w:ind w:start="360" w:end="0"/>
        <w:rPr>
          <w:sz w:val="24"/>
        </w:rPr>
      </w:pPr>
      <w:r>
        <w:rPr>
          <w:sz w:val="24"/>
        </w:rPr>
      </w:r>
    </w:p>
    <w:p>
      <w:pPr>
        <w:pStyle w:val="Normal"/>
        <w:numPr>
          <w:ilvl w:val="0"/>
          <w:numId w:val="6"/>
        </w:numPr>
        <w:tabs>
          <w:tab w:val="left" w:pos="720" w:leader="none"/>
        </w:tabs>
        <w:ind w:hanging="360" w:start="720" w:end="0"/>
        <w:rPr>
          <w:sz w:val="24"/>
        </w:rPr>
      </w:pPr>
      <w:r>
        <w:rPr>
          <w:sz w:val="24"/>
        </w:rPr>
        <w:t>Equity trading risk management will be the liaison with the primebroker or transfer agent for re-registration of the security to street name.</w:t>
      </w:r>
    </w:p>
    <w:p>
      <w:pPr>
        <w:pStyle w:val="Normal"/>
        <w:rPr>
          <w:sz w:val="24"/>
        </w:rPr>
      </w:pPr>
      <w:r>
        <w:rPr>
          <w:sz w:val="24"/>
        </w:rPr>
      </w:r>
    </w:p>
    <w:p>
      <w:pPr>
        <w:pStyle w:val="Normal"/>
        <w:numPr>
          <w:ilvl w:val="0"/>
          <w:numId w:val="6"/>
        </w:numPr>
        <w:tabs>
          <w:tab w:val="left" w:pos="720" w:leader="none"/>
        </w:tabs>
        <w:ind w:hanging="360" w:start="720" w:end="0"/>
        <w:rPr>
          <w:sz w:val="24"/>
        </w:rPr>
      </w:pPr>
      <w:r>
        <w:rPr>
          <w:sz w:val="24"/>
        </w:rPr>
        <w:t>Proceeds from sales will accumulate in the account and will be wired at the business unit’s direction once a month, or as appropriate, into an appropriate bank account.</w:t>
      </w:r>
    </w:p>
    <w:p>
      <w:pPr>
        <w:pStyle w:val="Normal"/>
        <w:rPr>
          <w:sz w:val="24"/>
        </w:rPr>
      </w:pPr>
      <w:r>
        <w:rPr>
          <w:sz w:val="24"/>
        </w:rPr>
      </w:r>
    </w:p>
    <w:p>
      <w:pPr>
        <w:pStyle w:val="Normal"/>
        <w:numPr>
          <w:ilvl w:val="0"/>
          <w:numId w:val="6"/>
        </w:numPr>
        <w:tabs>
          <w:tab w:val="left" w:pos="720" w:leader="none"/>
        </w:tabs>
        <w:ind w:hanging="360" w:start="720" w:end="0"/>
        <w:rPr>
          <w:sz w:val="24"/>
        </w:rPr>
      </w:pPr>
      <w:r>
        <w:rPr>
          <w:sz w:val="24"/>
        </w:rPr>
        <w:t>Restrictive legends on certificates differ and requirements may vary; affected by specific issuer restrictions, time frame the position has been held, position quantity, and affiliate status.</w:t>
        <w:br/>
      </w:r>
    </w:p>
    <w:p>
      <w:pPr>
        <w:pStyle w:val="Normal"/>
        <w:numPr>
          <w:ilvl w:val="0"/>
          <w:numId w:val="7"/>
        </w:numPr>
        <w:rPr>
          <w:sz w:val="24"/>
        </w:rPr>
      </w:pPr>
      <w:r>
        <w:rPr>
          <w:sz w:val="24"/>
        </w:rPr>
        <w:t xml:space="preserve">If the security restriction is within a 2 year window, an additional Seller Requirement restriction, 144(k),  may apply affecting the lifting of the restrictive legend. </w:t>
      </w:r>
    </w:p>
    <w:p>
      <w:pPr>
        <w:pStyle w:val="BodyTextIndent2"/>
        <w:numPr>
          <w:ilvl w:val="0"/>
          <w:numId w:val="4"/>
        </w:numPr>
        <w:rPr/>
      </w:pPr>
      <w:r>
        <w:rPr/>
        <w:t>The requirements noted above still apply</w:t>
      </w:r>
    </w:p>
    <w:p>
      <w:pPr>
        <w:pStyle w:val="BodyTextIndent2"/>
        <w:numPr>
          <w:ilvl w:val="0"/>
          <w:numId w:val="4"/>
        </w:numPr>
        <w:rPr/>
      </w:pPr>
      <w:r>
        <w:rPr/>
        <w:t>Stock Certificate, Stock Power and Corporate Resolution should be forwarded to Financial Trading Operations to send on to the primebroker.</w:t>
      </w:r>
    </w:p>
    <w:p>
      <w:pPr>
        <w:pStyle w:val="BodyTextIndent2"/>
        <w:numPr>
          <w:ilvl w:val="0"/>
          <w:numId w:val="4"/>
        </w:numPr>
        <w:rPr/>
      </w:pPr>
      <w:r>
        <w:rPr/>
        <w:t>Seller’s restrictions require a sale of the security (Tech short) before requesting the lifting of the restrictive legend.</w:t>
      </w:r>
    </w:p>
    <w:p>
      <w:pPr>
        <w:pStyle w:val="BodyTextIndent2"/>
        <w:numPr>
          <w:ilvl w:val="0"/>
          <w:numId w:val="4"/>
        </w:numPr>
        <w:rPr/>
      </w:pPr>
      <w:r>
        <w:rPr/>
        <w:t>Financial Trading desk advises the executing broker that they are doing a 144 sale.  Risk Management operations will notify the primebroker that the sale is a 144 sale.</w:t>
      </w:r>
    </w:p>
    <w:p>
      <w:pPr>
        <w:pStyle w:val="Normal"/>
        <w:numPr>
          <w:ilvl w:val="0"/>
          <w:numId w:val="4"/>
        </w:numPr>
        <w:rPr>
          <w:sz w:val="24"/>
        </w:rPr>
      </w:pPr>
      <w:r>
        <w:rPr>
          <w:sz w:val="24"/>
        </w:rPr>
        <w:t>Legal counsel of Enron completes a Form 144 filing to the SEC. A copy of the Form 144 filing and a Seller’s Rep letter are sent to the primebroker after the shares have been sold.  (Morgan Stanley will also submit to the SEC on our behalf.  SEC requires the Form 144 filing concurrently with either placing an order with a broker to execute sale or executing a sale directly with a market maker.)  Seller’s Rep letter indicates the intention to sell a certain number of shares pursuant to 144 rules.</w:t>
      </w:r>
    </w:p>
    <w:p>
      <w:pPr>
        <w:pStyle w:val="Normal"/>
        <w:numPr>
          <w:ilvl w:val="0"/>
          <w:numId w:val="4"/>
        </w:numPr>
        <w:rPr>
          <w:sz w:val="24"/>
        </w:rPr>
      </w:pPr>
      <w:r>
        <w:rPr>
          <w:sz w:val="24"/>
        </w:rPr>
        <w:t xml:space="preserve">The Executing broker sends a Broker Representation Letter (declares shares have been sold in the open market) to the issuer’s legal counsel.  A copy should be requested and forwarded to Financial Trading Risk Management. </w:t>
      </w:r>
    </w:p>
    <w:p>
      <w:pPr>
        <w:pStyle w:val="Normal"/>
        <w:numPr>
          <w:ilvl w:val="0"/>
          <w:numId w:val="4"/>
        </w:numPr>
        <w:rPr>
          <w:sz w:val="24"/>
        </w:rPr>
      </w:pPr>
      <w:r>
        <w:rPr>
          <w:sz w:val="24"/>
        </w:rPr>
        <w:t>The Issuer’s Legal counsel provides an Opinion Letter to the Transfer Agent.  Issuer’s Opinion letter states to the Transfer Agent that the Issuer is lifting the restriction.  Enron legal may wish to have a conversation with the Issuer’s legal counsel to expedite the process.</w:t>
      </w:r>
    </w:p>
    <w:p>
      <w:pPr>
        <w:pStyle w:val="Normal"/>
        <w:numPr>
          <w:ilvl w:val="0"/>
          <w:numId w:val="4"/>
        </w:numPr>
        <w:rPr>
          <w:sz w:val="24"/>
        </w:rPr>
      </w:pPr>
      <w:r>
        <w:rPr>
          <w:sz w:val="24"/>
        </w:rPr>
        <w:t xml:space="preserve">The Form 144,  Seller’s rep and a copy of the Broker Representation Letter (see f above) are sent to Operations and then forwarded by them onto the the primebroker.  (Certificate, Stock Power, and Corp Resolution should have already been sent to the primebroker).  The primebroker sends information to the Transfer Agent.   Transfer Agent process is estimated to take between 10 days and 4 weeks, or longer. </w:t>
      </w:r>
    </w:p>
    <w:p>
      <w:pPr>
        <w:pStyle w:val="Normal"/>
        <w:numPr>
          <w:ilvl w:val="0"/>
          <w:numId w:val="4"/>
        </w:numPr>
        <w:rPr>
          <w:sz w:val="24"/>
        </w:rPr>
      </w:pPr>
      <w:r>
        <w:rPr>
          <w:sz w:val="24"/>
        </w:rPr>
        <w:t>The Broker will borrow shares to make delivery on settlement date.</w:t>
      </w:r>
    </w:p>
    <w:p>
      <w:pPr>
        <w:pStyle w:val="Normal"/>
        <w:numPr>
          <w:ilvl w:val="0"/>
          <w:numId w:val="4"/>
        </w:numPr>
        <w:rPr>
          <w:sz w:val="24"/>
        </w:rPr>
      </w:pPr>
      <w:r>
        <w:rPr>
          <w:sz w:val="24"/>
        </w:rPr>
        <w:t>The account will be long restricted and short ordinary until the shares have been re-registered.</w:t>
      </w:r>
    </w:p>
    <w:p>
      <w:pPr>
        <w:pStyle w:val="Normal"/>
        <w:numPr>
          <w:ilvl w:val="0"/>
          <w:numId w:val="4"/>
        </w:numPr>
        <w:rPr>
          <w:sz w:val="24"/>
        </w:rPr>
      </w:pPr>
      <w:r>
        <w:rPr>
          <w:sz w:val="24"/>
        </w:rPr>
        <w:t>The account does run the risk of being bought in if the short shares covering the sale are called.  This will be affected by the market liquidity of the stock and the depth of the broker’s box.</w:t>
      </w:r>
    </w:p>
    <w:p>
      <w:pPr>
        <w:pStyle w:val="Normal"/>
        <w:numPr>
          <w:ilvl w:val="0"/>
          <w:numId w:val="4"/>
        </w:numPr>
        <w:rPr>
          <w:sz w:val="24"/>
        </w:rPr>
      </w:pPr>
      <w:r>
        <w:rPr>
          <w:sz w:val="24"/>
        </w:rPr>
        <w:t>144(k) restrictive status will be removed after 2 years AND if the entity has not been an affiliate of the issuer for the past 90 days.</w:t>
      </w:r>
    </w:p>
    <w:p>
      <w:pPr>
        <w:pStyle w:val="Normal"/>
        <w:ind w:start="7200" w:end="0"/>
        <w:rPr>
          <w:sz w:val="24"/>
        </w:rPr>
      </w:pPr>
      <w:r>
        <w:rPr>
          <w:sz w:val="24"/>
        </w:rPr>
      </w:r>
    </w:p>
    <w:p>
      <w:pPr>
        <w:pStyle w:val="Normal"/>
        <w:ind w:start="7920" w:end="0"/>
        <w:rPr>
          <w:sz w:val="24"/>
        </w:rPr>
      </w:pPr>
      <w:r>
        <w:rPr>
          <w:sz w:val="24"/>
        </w:rPr>
      </w:r>
    </w:p>
    <w:p>
      <w:pPr>
        <w:pStyle w:val="Normal"/>
        <w:ind w:end="360"/>
        <w:jc w:val="end"/>
        <w:rPr/>
      </w:pPr>
      <w:r>
        <w:rPr/>
        <w:t>Last updated: January 10, 2001</w:t>
      </w:r>
    </w:p>
    <w:sectPr>
      <w:type w:val="nextPage"/>
      <w:pgSz w:w="12240" w:h="15840"/>
      <w:pgMar w:left="1152" w:right="1152" w:gutter="0" w:header="0" w:top="720"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360"/>
        </w:tabs>
        <w:ind w:start="360" w:hanging="360"/>
      </w:pPr>
    </w:lvl>
  </w:abstractNum>
  <w:abstractNum w:abstractNumId="3">
    <w:lvl w:ilvl="0">
      <w:start w:val="1"/>
      <w:numFmt w:val="lowerLetter"/>
      <w:lvlText w:val="%1)"/>
      <w:lvlJc w:val="start"/>
      <w:pPr>
        <w:tabs>
          <w:tab w:val="num" w:pos="360"/>
        </w:tabs>
        <w:ind w:start="360" w:hanging="360"/>
      </w:pPr>
    </w:lvl>
  </w:abstractNum>
  <w:abstractNum w:abstractNumId="4">
    <w:lvl w:ilvl="0">
      <w:start w:val="1"/>
      <w:numFmt w:val="lowerLetter"/>
      <w:lvlText w:val="%1)"/>
      <w:lvlJc w:val="start"/>
      <w:pPr>
        <w:tabs>
          <w:tab w:val="num" w:pos="720"/>
        </w:tabs>
        <w:ind w:start="720" w:hanging="360"/>
      </w:pPr>
      <w:rPr/>
    </w:lvl>
  </w:abstractNum>
  <w:abstractNum w:abstractNumId="5">
    <w:lvl w:ilvl="0">
      <w:start w:val="1"/>
      <w:numFmt w:val="lowerLetter"/>
      <w:lvlText w:val="%1)"/>
      <w:lvlJc w:val="start"/>
      <w:pPr>
        <w:tabs>
          <w:tab w:val="num" w:pos="360"/>
        </w:tabs>
        <w:ind w:start="360" w:hanging="360"/>
      </w:pPr>
    </w:lvl>
  </w:abstractNum>
  <w:abstractNum w:abstractNumId="6">
    <w:lvl w:ilvl="0">
      <w:start w:val="1"/>
      <w:numFmt w:val="lowerLetter"/>
      <w:lvlText w:val="%1)"/>
      <w:lvlJc w:val="start"/>
      <w:pPr>
        <w:tabs>
          <w:tab w:val="num" w:pos="360"/>
        </w:tabs>
        <w:ind w:start="360" w:hanging="360"/>
      </w:pPr>
    </w:lvl>
  </w:abstractNum>
  <w:abstractNum w:abstractNumId="7">
    <w:lvl w:ilvl="0">
      <w:start w:val="1"/>
      <w:numFmt w:val="decimal"/>
      <w:lvlText w:val="%1)"/>
      <w:lvlJc w:val="start"/>
      <w:pPr>
        <w:tabs>
          <w:tab w:val="num" w:pos="360"/>
        </w:tabs>
        <w:ind w:start="36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92"/>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sz w:val="28"/>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6z0">
    <w:name w:val="WW8Num6z0"/>
    <w:qFormat/>
    <w:rPr>
      <w:rFonts w:ascii="Symbol" w:hAnsi="Symbol" w:cs="Symbol"/>
    </w:rPr>
  </w:style>
  <w:style w:type="character" w:styleId="WW8Num7z0">
    <w:name w:val="WW8Num7z0"/>
    <w:qFormat/>
    <w:rPr/>
  </w:style>
  <w:style w:type="character" w:styleId="WW8Num8z0">
    <w:name w:val="WW8Num8z0"/>
    <w:qFormat/>
    <w:rPr/>
  </w:style>
  <w:style w:type="character" w:styleId="WW8Num10z0">
    <w:name w:val="WW8Num10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7z0">
    <w:name w:val="WW8Num17z0"/>
    <w:qFormat/>
    <w:rPr>
      <w:rFonts w:ascii="Wingdings" w:hAnsi="Wingdings" w:cs="Wingdings"/>
      <w:sz w:val="16"/>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360" w:end="0"/>
    </w:pPr>
    <w:rPr>
      <w:sz w:val="24"/>
    </w:rPr>
  </w:style>
  <w:style w:type="paragraph" w:styleId="BodyTextIndent2">
    <w:name w:val="Body Text Indent 2"/>
    <w:basedOn w:val="Normal"/>
    <w:qFormat/>
    <w:pPr>
      <w:ind w:firstLine="360" w:start="0" w:end="0"/>
    </w:pPr>
    <w:rPr>
      <w:sz w:val="24"/>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278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2000-12-07T19:41:00Z</dcterms:created>
  <dc:creator>tbrogan</dc:creator>
  <dc:description/>
  <dc:language>en-CA</dc:language>
  <cp:lastModifiedBy>tbrogan</cp:lastModifiedBy>
  <cp:lastPrinted>2001-01-22T09:46:00Z</cp:lastPrinted>
  <dcterms:modified xsi:type="dcterms:W3CDTF">2001-01-22T13:25:00Z</dcterms:modified>
  <cp:revision>30</cp:revision>
  <dc:subject/>
  <dc:title>Discussion Items Related To Procedures For Trade Execution</dc:title>
</cp:coreProperties>
</file>