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Yes, We Need RTOs Now</w:t>
      </w:r>
    </w:p>
    <w:p>
      <w:pPr>
        <w:pStyle w:val="Normal"/>
        <w:jc w:val="center"/>
        <w:rPr/>
      </w:pPr>
      <w:r>
        <w:rPr/>
      </w:r>
    </w:p>
    <w:p>
      <w:pPr>
        <w:pStyle w:val="Normal"/>
        <w:jc w:val="center"/>
        <w:rPr/>
      </w:pPr>
      <w:r>
        <w:rPr/>
        <w:t>Steven L. Walton, Senior Director</w:t>
      </w:r>
    </w:p>
    <w:p>
      <w:pPr>
        <w:pStyle w:val="Normal"/>
        <w:jc w:val="center"/>
        <w:rPr/>
      </w:pPr>
      <w:r>
        <w:rPr/>
        <w:t>Government Affairs, Enron Corp</w:t>
      </w:r>
    </w:p>
    <w:p>
      <w:pPr>
        <w:pStyle w:val="Normal"/>
        <w:jc w:val="center"/>
        <w:rPr/>
      </w:pPr>
      <w:r>
        <w:rPr/>
      </w:r>
    </w:p>
    <w:p>
      <w:pPr>
        <w:pStyle w:val="Normal"/>
        <w:jc w:val="both"/>
        <w:rPr/>
      </w:pPr>
      <w:r>
        <w:rPr/>
      </w:r>
    </w:p>
    <w:p>
      <w:pPr>
        <w:pStyle w:val="BodyText"/>
        <w:rPr/>
      </w:pPr>
      <w:r>
        <w:rPr/>
        <w:tab/>
        <w:t>In December 1999 the Federal Energy Regulatory Commission (FERC) determined that the creation of independent Regional Transmission Organizations (RTOs) is necessary to provide true open access to electric transmission systems in the US.</w:t>
      </w:r>
      <w:r>
        <w:rPr>
          <w:rStyle w:val="FootnoteCharacters"/>
          <w:rStyle w:val="FootnoteReference"/>
        </w:rPr>
        <w:footnoteReference w:id="2"/>
      </w:r>
      <w:r>
        <w:rPr/>
        <w:t xml:space="preserve">  Jurisdictional utilities were ordered to file plans by October 15, 2000 plans for creating RTOs that would be operational by December 2001.  In response, Pacific Northwest investor owned utilities</w:t>
      </w:r>
      <w:r>
        <w:rPr>
          <w:rStyle w:val="FootnoteCharacters"/>
          <w:rStyle w:val="FootnoteReference"/>
        </w:rPr>
        <w:footnoteReference w:id="3"/>
      </w:r>
      <w:r>
        <w:rPr/>
        <w:t xml:space="preserve"> and the Bonneville Power Administration filed a proposal for creating RTO West, an independent entity that would operate the transmission system created by combining the transmission of the filing utilities.</w:t>
      </w:r>
    </w:p>
    <w:p>
      <w:pPr>
        <w:pStyle w:val="BodyText"/>
        <w:rPr/>
      </w:pPr>
      <w:r>
        <w:rPr/>
        <w:tab/>
        <w:t>A number of parties question the wisdom of creating RTOs, often incorrectly claiming that the energy troubles of California justify their opposition.  The past 30 years of industry history clearly demonstrates the need for competition in electric energy supply.  Transmission open access is the foundation of a competitive market.  The attempts to implement open access under of vertically integrated utility tariffs have resulted in a competitive bias that can only be eliminated when an independent party operates the transmission system.  Further, to enable needed transmission pricing reforms, an RTO with large geographic scope is required.  The Western Interconnection</w:t>
      </w:r>
      <w:r>
        <w:rPr>
          <w:rStyle w:val="FootnoteCharacters"/>
          <w:rStyle w:val="FootnoteReference"/>
        </w:rPr>
        <w:footnoteReference w:id="4"/>
      </w:r>
      <w:r>
        <w:rPr/>
        <w:t xml:space="preserve"> has been a single power market for many years, so RTO West’s proposed size, covering only the Greater Pacific Northwest</w:t>
      </w:r>
      <w:r>
        <w:rPr>
          <w:rStyle w:val="FootnoteCharacters"/>
          <w:rStyle w:val="FootnoteReference"/>
        </w:rPr>
        <w:footnoteReference w:id="5"/>
      </w:r>
      <w:r>
        <w:rPr/>
        <w:t xml:space="preserve">, is of minimum scale to meet these needs.  Failure to act now to create RTOs is short sighted.  </w:t>
      </w:r>
    </w:p>
    <w:p>
      <w:pPr>
        <w:pStyle w:val="BodyText"/>
        <w:jc w:val="center"/>
        <w:rPr>
          <w:b/>
          <w:bCs/>
        </w:rPr>
      </w:pPr>
      <w:r>
        <w:rPr>
          <w:b/>
          <w:bCs/>
        </w:rPr>
        <w:t>The Forgotten Woes of the Status Quo</w:t>
      </w:r>
    </w:p>
    <w:p>
      <w:pPr>
        <w:pStyle w:val="BodyText"/>
        <w:rPr/>
      </w:pPr>
      <w:r>
        <w:rPr>
          <w:b/>
          <w:bCs/>
        </w:rPr>
        <w:tab/>
      </w:r>
      <w:r>
        <w:rPr/>
        <w:t xml:space="preserve">Why do we need competition in electric power supply?  Lest we yearn for the good old days, a brief review of past 30 years will reminds us of the problems that arise when regulated monopolies face economic change.  </w:t>
      </w:r>
    </w:p>
    <w:p>
      <w:pPr>
        <w:pStyle w:val="BodyText"/>
        <w:tabs>
          <w:tab w:val="left" w:pos="720" w:leader="none"/>
        </w:tabs>
        <w:rPr/>
      </w:pPr>
      <w:r>
        <w:rPr/>
        <w:tab/>
      </w:r>
      <w:r>
        <w:rPr>
          <w:u w:val="single"/>
        </w:rPr>
        <w:t>The Boom</w:t>
      </w:r>
      <w:r>
        <w:rPr/>
        <w:t xml:space="preserve">.  The OPEC embargos of 1973 and 1979 not only drove up the price of gasoline, but they also drove rapid increases in electric load.  Utilities responded with large construction programs.  Prohibited by the Public Utility Regulatory Policy Act of 1978 (PURPA) from using gas for new generation, utilities built capital-intensive coal and nuclear fueled plants.  The cost of these plants escalated rapidly during construction, due to both general inflation and to increasing environmental and safety regulation.  </w:t>
      </w:r>
    </w:p>
    <w:p>
      <w:pPr>
        <w:pStyle w:val="BodyText"/>
        <w:tabs>
          <w:tab w:val="left" w:pos="720" w:leader="none"/>
        </w:tabs>
        <w:rPr/>
      </w:pPr>
      <w:r>
        <w:rPr/>
        <w:tab/>
        <w:t>Given the quasi-judicial nature of regulation, utilities’ rapidly rising construction costs did not affected rates until month or years after costs were incurred.  Consumers made choices using yesterday’s prices while utilities faced tomorrow’s costs.  Assuming they would recover investments, utilities strained their finances to finish projects with shrinking earnings.</w:t>
      </w:r>
    </w:p>
    <w:p>
      <w:pPr>
        <w:pStyle w:val="BodyText"/>
        <w:tabs>
          <w:tab w:val="left" w:pos="720" w:leader="none"/>
        </w:tabs>
        <w:rPr/>
      </w:pPr>
      <w:r>
        <w:rPr/>
        <w:tab/>
      </w:r>
      <w:r>
        <w:rPr>
          <w:u w:val="single"/>
        </w:rPr>
        <w:t>The Bust</w:t>
      </w:r>
      <w:r>
        <w:rPr/>
        <w:t xml:space="preserve">.  By the early 1980’s, large rate increases finally hit consumers.  High prices dampened demand, and angry customers pressured State commissions to hold down increases by disallowing investments.  Utilities were teetering financially, when oil and gas prices dropped in 1985.  Industrial customers switched to lower priced oil or gas, and older oil, and gas-fired plants became competitive as now unneeded plants were finished.  With wholesale electric prices plummeting, utilities downsized, reorganized and merged to survive; some went into bankruptcy.  </w:t>
      </w:r>
    </w:p>
    <w:p>
      <w:pPr>
        <w:pStyle w:val="BodyText"/>
        <w:ind w:firstLine="720" w:end="0"/>
        <w:rPr/>
      </w:pPr>
      <w:r>
        <w:rPr>
          <w:u w:val="single"/>
        </w:rPr>
        <w:t>Lessons Learned</w:t>
      </w:r>
      <w:r>
        <w:rPr/>
        <w:t>.  It was widely acknowledged by industry, regulators and customers alike that status quo regulation was not working.  Some regulators concluded that more intense regulation would solve the problem and instituted direct controls of system expansion.  They thought that demand side programs and regulatory control of expansion would minimize forecasting errors.  Burned by disallowances, many utilities were content to let regulators make expansion decisions.  Unfortunately, recent capacity shortages show that regulatory forecasting is as fallible as utility forecasting.</w:t>
      </w:r>
    </w:p>
    <w:p>
      <w:pPr>
        <w:pStyle w:val="BodyText"/>
        <w:ind w:firstLine="720" w:end="0"/>
        <w:rPr/>
      </w:pPr>
      <w:r>
        <w:rPr/>
        <w:t xml:space="preserve">Other regulators looked for ways to introduce competitive forces into the electricity marketplace.  Out of PURPA implementation came a new class of competitors, the independent power producers.  With new market entrants, a basic flaw of the old regulatory model has been addressed through a major shift in risk and reward alignment. Investors are now building new generation to supply energy on a contract basis, committing to supply for a given period, which usually for less than the life of the equipment.  The investors then taking the risk of selling energy when the contract expires.  As prices are set in contract negotiation as risks are balanced between the parties.  Experience in Pennsylvania, Texas, New England and the Midwest has shown that when market entry is encouraged, projects come forward in response to increasing prices.  For merchant generation to be viable, developers must have access to transmission to reach buyers and to challenge incumbent producers.  </w:t>
      </w:r>
    </w:p>
    <w:p>
      <w:pPr>
        <w:pStyle w:val="Normal"/>
        <w:spacing w:lineRule="auto" w:line="480"/>
        <w:ind w:firstLine="806" w:end="0"/>
        <w:jc w:val="both"/>
        <w:rPr/>
      </w:pPr>
      <w:r>
        <w:rPr/>
        <w:t>Ah yes, you say, but California has shown this competitive dream to be wishful thinking.  Before drawing that conclusion, first consider what actually happened.  When the independent system operator was established, prices did in fact go down, and they stayed down for several years.  However, the restructuring legislation in California forced the utilities to buy most of their energy in a daily spot market, as part of a deal to allow them to recover stranded cost</w:t>
      </w:r>
      <w:r>
        <w:rPr>
          <w:rStyle w:val="FootnoteCharacters"/>
          <w:rStyle w:val="FootnoteReference"/>
        </w:rPr>
        <w:footnoteReference w:id="6"/>
      </w:r>
      <w:r>
        <w:rPr/>
        <w:t>.  The hidden assumption of this transition strategy was that wholesale electric prices would remain low.</w:t>
      </w:r>
    </w:p>
    <w:p>
      <w:pPr>
        <w:pStyle w:val="Normal"/>
        <w:spacing w:lineRule="auto" w:line="480"/>
        <w:ind w:firstLine="806" w:end="0"/>
        <w:jc w:val="both"/>
        <w:rPr/>
      </w:pPr>
      <w:r>
        <w:rPr/>
        <w:t xml:space="preserve">As the economy surged in the 90’s, load increased across the West, consuming the generation surplus of the 80’s.  California’s rapidly growing load, always dependent upon imports, became increasingly dependent.  California’s complex plant siting and approval process so restricted market entry that little new generation came on-line.  When the dry water year of 2000 cut Northwest summer exports into California, the fundamental generating capacity shortage was exposed and prices rose.  </w:t>
      </w:r>
    </w:p>
    <w:p>
      <w:pPr>
        <w:pStyle w:val="Normal"/>
        <w:spacing w:lineRule="auto" w:line="480"/>
        <w:ind w:firstLine="806" w:end="0"/>
        <w:jc w:val="both"/>
        <w:rPr/>
      </w:pPr>
      <w:r>
        <w:rPr/>
        <w:t>During the summer of 2000, marketers offered long-term deals to California utilities at prices, which were quite reasonable in retrospect.  There were no takers because of the purchasing restrictions.  With retail rates were capped, utilities were caught between rising prices and flat revenues and financial collapse ensued.  The ISO and generation competition did not create this crisis; it arose from continuing market restrictions imposed by California regulation on purchases and expansion.  When demand increased and the market pushed down on the supply accelerator, only to learn that the throttle cable had been cut.</w:t>
      </w:r>
    </w:p>
    <w:p>
      <w:pPr>
        <w:pStyle w:val="Normal"/>
        <w:spacing w:lineRule="auto" w:line="480"/>
        <w:ind w:firstLine="806" w:end="0"/>
        <w:jc w:val="both"/>
        <w:rPr/>
      </w:pPr>
      <w:r>
        <w:rPr/>
      </w:r>
    </w:p>
    <w:p>
      <w:pPr>
        <w:pStyle w:val="Heading1"/>
        <w:rPr/>
      </w:pPr>
      <w:r>
        <w:rPr/>
        <w:t>Open Access Requires Independent Operation</w:t>
      </w:r>
    </w:p>
    <w:p>
      <w:pPr>
        <w:pStyle w:val="Normal"/>
        <w:spacing w:lineRule="auto" w:line="480"/>
        <w:ind w:firstLine="806" w:end="0"/>
        <w:jc w:val="both"/>
        <w:rPr/>
      </w:pPr>
      <w:r>
        <w:rPr/>
        <w:t xml:space="preserve">Transmission will remain a monopoly subject regulation for the foreseeable future, because duplication of transmission lines is deemed wasteful and undesirable.  How then should er regulate this monopoly to insure that access to transmission service is provided on a non-discriminatory basis – regulate conduct or regulate structure?  </w:t>
      </w:r>
    </w:p>
    <w:p>
      <w:pPr>
        <w:pStyle w:val="Normal"/>
        <w:spacing w:lineRule="auto" w:line="480"/>
        <w:ind w:firstLine="806" w:end="0"/>
        <w:jc w:val="both"/>
        <w:rPr/>
      </w:pPr>
      <w:r>
        <w:rPr/>
        <w:t>Although the debate over open access is nearly as old as the industry, it was not until 1992, that Congress authorized FERC to order a utility to provide transmission service to others.  When FERC issued Order Nos. 888 and 889 in 1996, it chose to regulate structure.  Utilities</w:t>
      </w:r>
      <w:r>
        <w:rPr>
          <w:rStyle w:val="FootnoteCharacters"/>
          <w:rStyle w:val="FootnoteReference"/>
        </w:rPr>
        <w:footnoteReference w:id="7"/>
      </w:r>
      <w:r>
        <w:rPr/>
        <w:t xml:space="preserve"> were required to file open access tariffs.  To eliminate favoritism toward an owners’ uses, FERC required utilities to separate their transmission operations from other functions and to abide by a code of conduct. This “functional unbundling” has only been partially successful.  An illustration will demonstrate the problem.</w:t>
      </w:r>
    </w:p>
    <w:p>
      <w:pPr>
        <w:pStyle w:val="BodyTextIndent"/>
        <w:rPr/>
      </w:pPr>
      <w:r>
        <w:rPr/>
        <w:t xml:space="preserve">NewCo decides to enter the widget market in which WidgCo is dominant.  WidgCo is vertically integrated, manufacturing, hauling, distributing and selling widgets.  WidgCo is also the only entity in the market area licensed to operate widget-carrying trucks.  While WidgCo monopoly requires it to accept shipments of its competitor’s widgets.  However, since WidgCo in the one who determines when space is available, ambiguities in determining shipping availability tend to favor WidgCo.  WidgCo was also allowed to retain advantages under the guise of protecting customers.  For instance, WidgCo delivers shipments to its local warehouses, but restricts others deliveries to consumption sites.  If NewCo’s misestimates its customer’s needs, any temporary shortfalls must come from WidgCo warehouses.  This is not a prescription for effective competition.  </w:t>
      </w:r>
    </w:p>
    <w:p>
      <w:pPr>
        <w:pStyle w:val="BodyTextIndent"/>
        <w:rPr/>
      </w:pPr>
      <w:r>
        <w:rPr/>
        <w:t xml:space="preserve">It is very difficult to regulate conduct, when the system operator must exercise technical judgment about network transfer capability.  The alternative is to regulating conduct is regulate industry structure.  Both the Department of Justice (DOJ) and the Federal Trade Commission (FTC) recommended this strategy during the development of Order No. 888.  They noted that divestiture is the typical mechanism for addressing a market power, but it was impractical under current conditions.  DOJ and FTC recommended “operational unbundling”, i.e. an independent transmission operator.  By December of 1999, FERC had arrived the same conclusion when it issued Order No. 2000.  Order Nos. 888/889 were not producing the degree of open access needed for a competitive wholesale power market.  RTO were to be developed to implementing operational unbundling, in one of two forms. </w:t>
      </w:r>
    </w:p>
    <w:p>
      <w:pPr>
        <w:pStyle w:val="BodyTextIndent"/>
        <w:numPr>
          <w:ilvl w:val="0"/>
          <w:numId w:val="2"/>
        </w:numPr>
        <w:tabs>
          <w:tab w:val="clear" w:pos="720"/>
          <w:tab w:val="left" w:pos="360" w:leader="none"/>
        </w:tabs>
        <w:ind w:hanging="450" w:start="360" w:end="0"/>
        <w:rPr/>
      </w:pPr>
      <w:r>
        <w:rPr/>
        <w:t xml:space="preserve">An Independent System Operator (ISO), which is usually a not-for-profit organization that contracts with transmission owners to operate their facilities.  FERC’s RTO standards required greater independence than had been allowed for previously authorized ISOs.  </w:t>
      </w:r>
    </w:p>
    <w:p>
      <w:pPr>
        <w:pStyle w:val="BodyTextIndent"/>
        <w:numPr>
          <w:ilvl w:val="0"/>
          <w:numId w:val="2"/>
        </w:numPr>
        <w:tabs>
          <w:tab w:val="clear" w:pos="720"/>
          <w:tab w:val="left" w:pos="360" w:leader="none"/>
        </w:tabs>
        <w:ind w:hanging="450" w:start="360" w:end="0"/>
        <w:rPr/>
      </w:pPr>
      <w:r>
        <w:rPr/>
        <w:t xml:space="preserve">A transmission only company (TransCo), which approximates the structural change of divestiture. The TransCos is a limited liability company managed by a independent managing member, who is neither one of the vertically integrated transmission owners nor is engaged in generation or marketing.  The transmission owners contribute their assets in return for shares of the Transco.  FERC has restricted the owners’ participation to either passive ownership or to a minor active ownership for a limited period of time.  </w:t>
      </w:r>
    </w:p>
    <w:p>
      <w:pPr>
        <w:pStyle w:val="BodyTextIndent"/>
        <w:rPr/>
      </w:pPr>
      <w:r>
        <w:rPr/>
      </w:r>
    </w:p>
    <w:p>
      <w:pPr>
        <w:pStyle w:val="BodyTextIndent"/>
        <w:keepNext w:val="true"/>
        <w:keepLines/>
        <w:jc w:val="center"/>
        <w:rPr>
          <w:b/>
          <w:bCs/>
        </w:rPr>
      </w:pPr>
      <w:r>
        <w:rPr>
          <w:b/>
          <w:bCs/>
        </w:rPr>
        <w:t>Transmission Pricing Reform</w:t>
      </w:r>
    </w:p>
    <w:p>
      <w:pPr>
        <w:pStyle w:val="BodyTextIndent"/>
        <w:keepNext w:val="true"/>
        <w:keepLines/>
        <w:rPr/>
      </w:pPr>
      <w:r>
        <w:rPr/>
        <w:t>.  FERC transmission pricing inquiries began in 1983, so the need for reform is well known. Yet prior to the formation of ISOs, nothing much happened because a single company cannot implement the needed reforms.  It is necessary to have the large geographic scale envisioned for RTOs by FERC.</w:t>
      </w:r>
    </w:p>
    <w:p>
      <w:pPr>
        <w:pStyle w:val="BodyTextIndent"/>
        <w:rPr/>
      </w:pPr>
      <w:r>
        <w:rPr/>
        <w:t xml:space="preserve">The largest component of transmission system costs is largely fixed – the recovery of invested capital at original cost, debt service, maintenance, etc.  The variable costs, although smaller in absolute terms, are critical to efficient usage of the system – losses and congestion cost.  Losses occur due to heating of a conductor when current flows through it, while congestion cost is an economic consequence of transmission capacity limits.  If remotely generated energy costs $30/MWh and locally generated energy costs $50/MWh, a constraint in the transmission system that forces use of the higher cost local source has a congestion cost of $20/MWh – the savings forgone because cheaper resources cannot be delivered.  </w:t>
      </w:r>
    </w:p>
    <w:p>
      <w:pPr>
        <w:pStyle w:val="BodyTextIndent"/>
        <w:rPr/>
      </w:pPr>
      <w:r>
        <w:rPr/>
        <w:t xml:space="preserve">The role of variable costs can be understood by considering a vertically integrated company’s use its system to meet its own needs.  While fixed (sunk) costs are included in customer rates, they are ignored in daily operations.  The system operator’s attention is instead focused on controllable costs – losses and fuel.  Within the limits of the transmission system, system operators use optimization techniques to minimize their company’s overall energy cost.  Although congestion cost exists, it was not separately identified.   When a transmission network begins to provide service to other parties, the internalized decision making process described above must be captured in pricing so all users can make best use of the network.  </w:t>
      </w:r>
    </w:p>
    <w:p>
      <w:pPr>
        <w:pStyle w:val="BodyTextIndent"/>
        <w:rPr/>
      </w:pPr>
      <w:r>
        <w:rPr/>
        <w:t xml:space="preserve">Under traditionally transmission pricing a share of the fixed costs has been collected for all usage, even hourly purchases.  This puts a fixed cost bias into decisions made by transmission customers, which an integrated utility does not face.  In addition, if a resource is located in another company’s control area, the fixed costs of every intervening system must also be paid, “pancaking” the fixed cost bias. Under a large scale RTO, a single fixed charge is made, based on peak customer load.  This eliminates pancaking and fixed cost bias from dispatch decisions.  </w:t>
      </w:r>
    </w:p>
    <w:p>
      <w:pPr>
        <w:pStyle w:val="BodyTextIndent"/>
        <w:rPr/>
      </w:pPr>
      <w:r>
        <w:rPr/>
        <w:t>In order to externalize congestion cost, there must be a process to determine the market value of energy at various locations.  The process must be independent of transmission owners’ interests, since a transmission owner attempting to set the locational prices, would be suspected of serving its own interests.  In addition single company prices result in price discontinuities at interconnections.  An RTO provides the needed independence and the geographic scope necessary to eliminate discontinuities.</w:t>
      </w:r>
    </w:p>
    <w:p>
      <w:pPr>
        <w:pStyle w:val="BodyTextIndent"/>
        <w:jc w:val="center"/>
        <w:rPr/>
      </w:pPr>
      <w:r>
        <w:rPr/>
      </w:r>
    </w:p>
    <w:p>
      <w:pPr>
        <w:pStyle w:val="BodyTextIndent"/>
        <w:keepNext w:val="true"/>
        <w:jc w:val="center"/>
        <w:rPr>
          <w:b/>
          <w:bCs/>
        </w:rPr>
      </w:pPr>
      <w:r>
        <w:rPr>
          <w:b/>
          <w:bCs/>
        </w:rPr>
        <w:t>Now Is the Time to Act</w:t>
      </w:r>
    </w:p>
    <w:p>
      <w:pPr>
        <w:pStyle w:val="BodyTextIndent"/>
        <w:keepNext w:val="true"/>
        <w:rPr/>
      </w:pPr>
      <w:r>
        <w:rPr/>
        <w:t xml:space="preserve">Without the formation of a large scale RTO, the benefits of wholesale competition cannot be fully realized.  After a full six years of debate in the Northwest, all major RTO policy issues are well understood.  The time has come to decide.  If we do not correct the deficiencies of the current industry structure, we are likely to repeat the boom-bust cycle again and may yet say, “Woops, we did it again!” </w:t>
      </w:r>
    </w:p>
    <w:sectPr>
      <w:footerReference w:type="default" r:id="rId2"/>
      <w:footnotePr>
        <w:numFmt w:val="decimal"/>
      </w:footnotePr>
      <w:type w:val="nextPage"/>
      <w:pgSz w:w="12240" w:h="15840"/>
      <w:pgMar w:left="180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pPr>
    <w:r>
      <w:rPr>
        <w:sz w:val="20"/>
      </w:rPr>
      <w:t>S.Walton</w:t>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9</w:t>
    </w:r>
    <w:r>
      <w:rPr>
        <w:rStyle w:val="PageNumber"/>
        <w:sz w:val="20"/>
      </w:rPr>
      <w:fldChar w:fldCharType="end"/>
    </w:r>
    <w:r>
      <w:rPr>
        <w:rStyle w:val="PageNumber"/>
        <w:sz w:val="20"/>
      </w:rPr>
      <w:tab/>
      <w:t>August 14, 2001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FERC Order No. 2000, 89 FERC ¶ 61,285, issued December 19, 1999</w:t>
      </w:r>
    </w:p>
  </w:footnote>
  <w:footnote w:id="3">
    <w:p>
      <w:pPr>
        <w:pStyle w:val="FootnoteText"/>
        <w:rPr/>
      </w:pPr>
      <w:r>
        <w:rPr>
          <w:rStyle w:val="FootnoteCharacters"/>
        </w:rPr>
        <w:footnoteRef/>
      </w:r>
      <w:r>
        <w:rPr/>
        <w:t xml:space="preserve"> </w:t>
      </w:r>
      <w:r>
        <w:rPr/>
        <w:t xml:space="preserve">The eight investor owned companies filing with Bonneville are Avista Corporation (formerly Washington Water Power), Idaho Power, Montana Power, Nevada Power, PacifiCorp, Portland General Electric, Puget Sound Energy and Sierra Pacific Power.  BC Hydro is considering participation as well. </w:t>
      </w:r>
    </w:p>
  </w:footnote>
  <w:footnote w:id="4">
    <w:p>
      <w:pPr>
        <w:pStyle w:val="FootnoteText"/>
        <w:rPr/>
      </w:pPr>
      <w:r>
        <w:rPr>
          <w:rStyle w:val="FootnoteCharacters"/>
        </w:rPr>
        <w:footnoteRef/>
      </w:r>
      <w:r>
        <w:rPr/>
        <w:t xml:space="preserve"> </w:t>
      </w:r>
      <w:r>
        <w:rPr/>
        <w:t>The Western Interconnection covers primarily 11 Western States (Arizona, California, Colorado, Idaho, Montana, Nevada, New Mexico, Oregon, Washington, Utah and Wyoming), bits to three other States (Nebraska, South Dakota and Texas) and two Canadian Provinces (Alberta and British Columbia).  All generators in the Western Interconnection are synchronized to each other, i.e., they operate at the same frequency.</w:t>
      </w:r>
    </w:p>
  </w:footnote>
  <w:footnote w:id="5">
    <w:p>
      <w:pPr>
        <w:pStyle w:val="FootnoteText"/>
        <w:rPr/>
      </w:pPr>
      <w:r>
        <w:rPr>
          <w:rStyle w:val="FootnoteCharacters"/>
        </w:rPr>
        <w:footnoteRef/>
      </w:r>
      <w:r>
        <w:rPr/>
        <w:t xml:space="preserve"> </w:t>
      </w:r>
      <w:r>
        <w:rPr/>
        <w:t xml:space="preserve">The Greater Pacific Northwest includes all areas covered by the Northwest Power Pool, which was formed in 1941 and includes facilities in the following states and provinces:  Alberta, British Columbia, Idaho, Montana, Nevada, Oregon, Utah, Washington and Wyoming. </w:t>
      </w:r>
    </w:p>
  </w:footnote>
  <w:footnote w:id="6">
    <w:p>
      <w:pPr>
        <w:pStyle w:val="FootnoteText"/>
        <w:rPr/>
      </w:pPr>
      <w:r>
        <w:rPr>
          <w:rStyle w:val="FootnoteCharacters"/>
        </w:rPr>
        <w:footnoteRef/>
      </w:r>
      <w:r>
        <w:rPr/>
        <w:t xml:space="preserve"> </w:t>
      </w:r>
      <w:r>
        <w:rPr/>
        <w:t>The term stranded cost is industry jargon used to describe the difference between the amount originally invested in generation, which would have been recovered in rates under the old regulatory regime, and the expected lower value of the energy under the new rules.</w:t>
      </w:r>
    </w:p>
  </w:footnote>
  <w:footnote w:id="7">
    <w:p>
      <w:pPr>
        <w:pStyle w:val="FootnoteText"/>
        <w:rPr/>
      </w:pPr>
      <w:r>
        <w:rPr>
          <w:rStyle w:val="FootnoteCharacters"/>
        </w:rPr>
        <w:footnoteRef/>
      </w:r>
      <w:r>
        <w:rPr/>
        <w:t xml:space="preserve"> </w:t>
      </w:r>
      <w:r>
        <w:rPr/>
        <w:t xml:space="preserve">These requirements applied to the investor owned utilities and some cooperatives, but not to publicly owned utilities.  At the urging of the Department of Energy, Bonneville Power voluntarily complied by submitting a nearly identical tariff.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5"/>
        </w:tabs>
        <w:ind w:start="795"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ind w:firstLine="806" w:start="0" w:end="0"/>
      <w:jc w:val="center"/>
      <w:outlineLvl w:val="0"/>
    </w:pPr>
    <w:rPr>
      <w:b/>
      <w:bCs/>
    </w:rPr>
  </w:style>
  <w:style w:type="character" w:styleId="WW8Num1z0">
    <w:name w:val="WW8Num1z0"/>
    <w:qFormat/>
    <w:rPr>
      <w:rFonts w:ascii="Arial" w:hAnsi="Arial" w:cs="Arial"/>
      <w:b/>
      <w:i w:val="false"/>
    </w:rPr>
  </w:style>
  <w:style w:type="character" w:styleId="WW8Num1z1">
    <w:name w:val="WW8Num1z1"/>
    <w:qFormat/>
    <w:rPr>
      <w:rFonts w:ascii="Arial" w:hAnsi="Arial" w:cs="Arial"/>
      <w:b w:val="false"/>
      <w:i/>
      <w:sz w:val="24"/>
    </w:rPr>
  </w:style>
  <w:style w:type="character" w:styleId="WW8Num1z2">
    <w:name w:val="WW8Num1z2"/>
    <w:qFormat/>
    <w:rPr>
      <w:rFonts w:ascii="Wingdings" w:hAnsi="Wingdings" w:cs="Wingdings"/>
      <w:b w:val="false"/>
      <w:i w:val="false"/>
    </w:rPr>
  </w:style>
  <w:style w:type="character" w:styleId="WW8Num1z3">
    <w:name w:val="WW8Num1z3"/>
    <w:qFormat/>
    <w:rPr>
      <w:rFonts w:ascii="Symbol" w:hAnsi="Symbol" w:cs="Symbol"/>
      <w:b w:val="false"/>
      <w:i w:val="false"/>
    </w:rPr>
  </w:style>
  <w:style w:type="character" w:styleId="WW8Num1z6">
    <w:name w:val="WW8Num1z6"/>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2001-08-15T21:15:00Z</dcterms:created>
  <dc:creator>swalto2</dc:creator>
  <dc:description/>
  <dc:language>en-CA</dc:language>
  <cp:lastModifiedBy>swalto2</cp:lastModifiedBy>
  <cp:lastPrinted>2001-08-16T14:38:00Z</cp:lastPrinted>
  <dcterms:modified xsi:type="dcterms:W3CDTF">2001-08-16T17:08:00Z</dcterms:modified>
  <cp:revision>8</cp:revision>
  <dc:subject/>
  <dc:title>Yes, We Need RTOs</dc:title>
</cp:coreProperties>
</file>