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clear" w:pos="720"/>
          <w:tab w:val="right" w:pos="10080" w:leader="none"/>
        </w:tabs>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tabs>
          <w:tab w:val="clear" w:pos="720"/>
          <w:tab w:val="right" w:pos="10080" w:leader="none"/>
        </w:tabs>
        <w:rPr/>
      </w:pPr>
      <w:r>
        <w:rPr/>
        <w:tab/>
        <w:t>Privileged &amp; Confidential</w:t>
      </w:r>
    </w:p>
    <w:p>
      <w:pPr>
        <w:pStyle w:val="Heading"/>
        <w:tabs>
          <w:tab w:val="clear" w:pos="720"/>
          <w:tab w:val="right" w:pos="10080" w:leader="none"/>
        </w:tabs>
        <w:rPr/>
      </w:pPr>
      <w:r>
        <w:rPr/>
        <w:tab/>
        <w:t>Solicitor/Client Communication</w:t>
      </w:r>
    </w:p>
    <w:p>
      <w:pPr>
        <w:pStyle w:val="Heading"/>
        <w:jc w:val="end"/>
        <w:rPr/>
      </w:pPr>
      <w:r>
        <w:rPr/>
      </w:r>
    </w:p>
    <w:tbl>
      <w:tblPr>
        <w:tblW w:w="10708" w:type="dxa"/>
        <w:jc w:val="start"/>
        <w:tblInd w:w="202" w:type="dxa"/>
        <w:tblLayout w:type="fixed"/>
        <w:tblCellMar>
          <w:top w:w="0" w:type="dxa"/>
          <w:start w:w="108" w:type="dxa"/>
          <w:bottom w:w="0" w:type="dxa"/>
          <w:end w:w="108" w:type="dxa"/>
        </w:tblCellMar>
      </w:tblPr>
      <w:tblGrid>
        <w:gridCol w:w="708"/>
        <w:gridCol w:w="6045"/>
        <w:gridCol w:w="990"/>
        <w:gridCol w:w="2965"/>
      </w:tblGrid>
      <w:tr>
        <w:trPr/>
        <w:tc>
          <w:tcPr>
            <w:tcW w:w="708" w:type="dxa"/>
            <w:tcBorders/>
          </w:tcPr>
          <w:p>
            <w:pPr>
              <w:pStyle w:val="Normal"/>
              <w:ind w:start="-180" w:end="0"/>
              <w:jc w:val="end"/>
              <w:rPr>
                <w:sz w:val="16"/>
              </w:rPr>
            </w:pPr>
            <w:r>
              <w:rPr>
                <w:sz w:val="16"/>
              </w:rPr>
              <w:t>To:</w:t>
            </w:r>
          </w:p>
        </w:tc>
        <w:tc>
          <w:tcPr>
            <w:tcW w:w="6045" w:type="dxa"/>
            <w:tcBorders/>
          </w:tcPr>
          <w:p>
            <w:pPr>
              <w:pStyle w:val="Subject"/>
              <w:rPr/>
            </w:pPr>
            <w:r>
              <w:rPr/>
              <w:t>Glenn Leslie (Blake, Cassels &amp; Graydon LLP, Toronto)</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c>
          <w:tcPr>
            <w:tcW w:w="708" w:type="dxa"/>
            <w:tcBorders/>
          </w:tcPr>
          <w:p>
            <w:pPr>
              <w:pStyle w:val="Normal"/>
              <w:snapToGrid w:val="false"/>
              <w:ind w:start="-180" w:end="0"/>
              <w:jc w:val="end"/>
              <w:rPr>
                <w:sz w:val="18"/>
              </w:rPr>
            </w:pPr>
            <w:r>
              <w:rPr>
                <w:sz w:val="18"/>
              </w:rPr>
            </w:r>
          </w:p>
        </w:tc>
        <w:tc>
          <w:tcPr>
            <w:tcW w:w="6045" w:type="dxa"/>
            <w:tcBorders/>
          </w:tcPr>
          <w:p>
            <w:pPr>
              <w:pStyle w:val="Normal"/>
              <w:rPr>
                <w:rFonts w:ascii="Arial" w:hAnsi="Arial" w:cs="Arial"/>
              </w:rPr>
            </w:pPr>
            <w:r>
              <w:rPr>
                <w:rFonts w:cs="Arial" w:ascii="Arial" w:hAnsi="Arial"/>
              </w:rPr>
              <w:t>Web Macdonald (Blake, Cassels &amp; Graydon LLP, Calgary)</w:t>
            </w:r>
          </w:p>
        </w:tc>
        <w:tc>
          <w:tcPr>
            <w:tcW w:w="990" w:type="dxa"/>
            <w:tcBorders/>
          </w:tcPr>
          <w:p>
            <w:pPr>
              <w:pStyle w:val="Normal"/>
              <w:snapToGrid w:val="false"/>
              <w:ind w:start="-180" w:end="0"/>
              <w:rPr>
                <w:rFonts w:ascii="Arial" w:hAnsi="Arial" w:cs="Arial"/>
                <w:sz w:val="18"/>
              </w:rPr>
            </w:pPr>
            <w:r>
              <w:rPr>
                <w:rFonts w:cs="Arial" w:ascii="Arial" w:hAnsi="Arial"/>
                <w:sz w:val="18"/>
              </w:rPr>
            </w:r>
          </w:p>
        </w:tc>
        <w:tc>
          <w:tcPr>
            <w:tcW w:w="2965" w:type="dxa"/>
            <w:tcBorders/>
          </w:tcPr>
          <w:p>
            <w:pPr>
              <w:pStyle w:val="Normal"/>
              <w:snapToGrid w:val="false"/>
              <w:rPr>
                <w:sz w:val="18"/>
              </w:rPr>
            </w:pPr>
            <w:r>
              <w:rPr>
                <w:sz w:val="18"/>
              </w:rPr>
            </w:r>
          </w:p>
        </w:tc>
      </w:tr>
      <w:tr>
        <w:trPr/>
        <w:tc>
          <w:tcPr>
            <w:tcW w:w="708" w:type="dxa"/>
            <w:tcBorders/>
          </w:tcPr>
          <w:p>
            <w:pPr>
              <w:pStyle w:val="Normal"/>
              <w:snapToGrid w:val="false"/>
              <w:ind w:start="-180" w:end="0"/>
              <w:jc w:val="end"/>
              <w:rPr>
                <w:sz w:val="18"/>
              </w:rPr>
            </w:pPr>
            <w:r>
              <w:rPr>
                <w:sz w:val="18"/>
              </w:rPr>
            </w:r>
          </w:p>
        </w:tc>
        <w:tc>
          <w:tcPr>
            <w:tcW w:w="6045" w:type="dxa"/>
            <w:tcBorders/>
          </w:tcPr>
          <w:p>
            <w:pPr>
              <w:pStyle w:val="Normal"/>
              <w:rPr>
                <w:rFonts w:ascii="Arial" w:hAnsi="Arial" w:cs="Arial"/>
              </w:rPr>
            </w:pPr>
            <w:r>
              <w:rPr>
                <w:rFonts w:cs="Arial" w:ascii="Arial" w:hAnsi="Arial"/>
              </w:rPr>
              <w:t>Dalton McGrath (Blake, Cassels &amp; Graydon LLP, Calgary)</w:t>
            </w:r>
          </w:p>
        </w:tc>
        <w:tc>
          <w:tcPr>
            <w:tcW w:w="990" w:type="dxa"/>
            <w:tcBorders/>
          </w:tcPr>
          <w:p>
            <w:pPr>
              <w:pStyle w:val="Normal"/>
              <w:snapToGrid w:val="false"/>
              <w:ind w:start="-180" w:end="0"/>
              <w:rPr>
                <w:rFonts w:ascii="Arial" w:hAnsi="Arial" w:cs="Arial"/>
                <w:sz w:val="18"/>
              </w:rPr>
            </w:pPr>
            <w:r>
              <w:rPr>
                <w:rFonts w:cs="Arial" w:ascii="Arial" w:hAnsi="Arial"/>
                <w:sz w:val="18"/>
              </w:rPr>
            </w:r>
          </w:p>
        </w:tc>
        <w:tc>
          <w:tcPr>
            <w:tcW w:w="2965" w:type="dxa"/>
            <w:tcBorders/>
          </w:tcPr>
          <w:p>
            <w:pPr>
              <w:pStyle w:val="Normal"/>
              <w:snapToGrid w:val="false"/>
              <w:rPr>
                <w:sz w:val="18"/>
              </w:rPr>
            </w:pPr>
            <w:r>
              <w:rPr>
                <w:sz w:val="18"/>
              </w:rPr>
            </w:r>
          </w:p>
        </w:tc>
      </w:tr>
      <w:tr>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tcPr>
          <w:p>
            <w:pPr>
              <w:pStyle w:val="Normal"/>
              <w:ind w:start="-180" w:end="0"/>
              <w:jc w:val="end"/>
              <w:rPr>
                <w:sz w:val="18"/>
              </w:rPr>
            </w:pPr>
            <w:r>
              <w:rPr>
                <w:sz w:val="18"/>
              </w:rPr>
              <w:t>c:</w:t>
            </w:r>
          </w:p>
        </w:tc>
        <w:tc>
          <w:tcPr>
            <w:tcW w:w="6045" w:type="dxa"/>
            <w:tcBorders/>
          </w:tcPr>
          <w:p>
            <w:pPr>
              <w:pStyle w:val="Normal"/>
              <w:rPr>
                <w:sz w:val="18"/>
              </w:rPr>
            </w:pPr>
            <w:r>
              <w:rPr>
                <w:sz w:val="18"/>
              </w:rPr>
              <w:t>Mark Haedicke (Enron North America Corp.)</w:t>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tcPr>
          <w:p>
            <w:pPr>
              <w:pStyle w:val="Normal"/>
              <w:snapToGrid w:val="false"/>
              <w:ind w:start="-180" w:end="0"/>
              <w:jc w:val="end"/>
              <w:rPr>
                <w:sz w:val="18"/>
              </w:rPr>
            </w:pPr>
            <w:r>
              <w:rPr>
                <w:sz w:val="18"/>
              </w:rPr>
            </w:r>
          </w:p>
        </w:tc>
        <w:tc>
          <w:tcPr>
            <w:tcW w:w="6045" w:type="dxa"/>
            <w:tcBorders/>
          </w:tcPr>
          <w:p>
            <w:pPr>
              <w:pStyle w:val="Normal"/>
              <w:rPr>
                <w:sz w:val="18"/>
              </w:rPr>
            </w:pPr>
            <w:r>
              <w:rPr>
                <w:sz w:val="18"/>
              </w:rPr>
              <w:t>John Lavorato (Enron North America Corp.)</w:t>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tcPr>
          <w:p>
            <w:pPr>
              <w:pStyle w:val="Normal"/>
              <w:snapToGrid w:val="false"/>
              <w:ind w:start="-180" w:end="0"/>
              <w:jc w:val="end"/>
              <w:rPr>
                <w:sz w:val="18"/>
              </w:rPr>
            </w:pPr>
            <w:r>
              <w:rPr>
                <w:sz w:val="18"/>
              </w:rPr>
            </w:r>
          </w:p>
        </w:tc>
        <w:tc>
          <w:tcPr>
            <w:tcW w:w="6045" w:type="dxa"/>
            <w:tcBorders/>
          </w:tcPr>
          <w:p>
            <w:pPr>
              <w:pStyle w:val="Normal"/>
              <w:rPr>
                <w:sz w:val="18"/>
              </w:rPr>
            </w:pPr>
            <w:r>
              <w:rPr>
                <w:sz w:val="18"/>
              </w:rPr>
              <w:t>Rob Milnthorp (Enron Canada Corp.)</w:t>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tcPr>
          <w:p>
            <w:pPr>
              <w:pStyle w:val="Normal"/>
              <w:snapToGrid w:val="false"/>
              <w:ind w:start="-180" w:end="0"/>
              <w:jc w:val="end"/>
              <w:rPr>
                <w:sz w:val="18"/>
              </w:rPr>
            </w:pPr>
            <w:r>
              <w:rPr>
                <w:sz w:val="18"/>
              </w:rPr>
            </w:r>
          </w:p>
        </w:tc>
        <w:tc>
          <w:tcPr>
            <w:tcW w:w="6045" w:type="dxa"/>
            <w:tcBorders/>
          </w:tcPr>
          <w:p>
            <w:pPr>
              <w:pStyle w:val="Normal"/>
              <w:rPr>
                <w:sz w:val="18"/>
              </w:rPr>
            </w:pPr>
            <w:r>
              <w:rPr>
                <w:sz w:val="18"/>
              </w:rPr>
              <w:t>Richard Sanders (Enron North America Corp.)</w:t>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tcPr>
          <w:p>
            <w:pPr>
              <w:pStyle w:val="Normal"/>
              <w:snapToGrid w:val="false"/>
              <w:ind w:start="-180" w:end="0"/>
              <w:jc w:val="end"/>
              <w:rPr>
                <w:sz w:val="18"/>
              </w:rPr>
            </w:pPr>
            <w:r>
              <w:rPr>
                <w:sz w:val="18"/>
              </w:rPr>
            </w:r>
          </w:p>
        </w:tc>
        <w:tc>
          <w:tcPr>
            <w:tcW w:w="6045" w:type="dxa"/>
            <w:tcBorders/>
          </w:tcPr>
          <w:p>
            <w:pPr>
              <w:pStyle w:val="Normal"/>
              <w:rPr>
                <w:sz w:val="18"/>
              </w:rPr>
            </w:pPr>
            <w:r>
              <w:rPr>
                <w:sz w:val="18"/>
              </w:rPr>
              <w:t>Dan Dietrich (Enron Canada Corp.)</w:t>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tcPr>
          <w:p>
            <w:pPr>
              <w:pStyle w:val="Normal"/>
              <w:snapToGrid w:val="false"/>
              <w:ind w:start="-180" w:end="0"/>
              <w:jc w:val="end"/>
              <w:rPr>
                <w:sz w:val="18"/>
              </w:rPr>
            </w:pPr>
            <w:r>
              <w:rPr>
                <w:sz w:val="18"/>
              </w:rPr>
            </w:r>
          </w:p>
        </w:tc>
        <w:tc>
          <w:tcPr>
            <w:tcW w:w="6045" w:type="dxa"/>
            <w:tcBorders/>
          </w:tcPr>
          <w:p>
            <w:pPr>
              <w:pStyle w:val="Normal"/>
              <w:rPr>
                <w:sz w:val="18"/>
              </w:rPr>
            </w:pPr>
            <w:r>
              <w:rPr>
                <w:sz w:val="18"/>
              </w:rPr>
              <w:t>Attila Pazmandi (Enron Canada Corp.)</w:t>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tcPr>
          <w:p>
            <w:pPr>
              <w:pStyle w:val="Normal"/>
              <w:snapToGrid w:val="false"/>
              <w:ind w:start="-180" w:end="0"/>
              <w:jc w:val="end"/>
              <w:rPr>
                <w:sz w:val="18"/>
              </w:rPr>
            </w:pPr>
            <w:r>
              <w:rPr>
                <w:sz w:val="18"/>
              </w:rPr>
            </w:r>
          </w:p>
        </w:tc>
        <w:tc>
          <w:tcPr>
            <w:tcW w:w="6045" w:type="dxa"/>
            <w:tcBorders/>
          </w:tcPr>
          <w:p>
            <w:pPr>
              <w:pStyle w:val="Normal"/>
              <w:rPr>
                <w:sz w:val="18"/>
              </w:rPr>
            </w:pPr>
            <w:r>
              <w:rPr>
                <w:sz w:val="18"/>
              </w:rPr>
              <w:t>Jon McKay (Enron Canada Corp.)</w:t>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tcPr>
          <w:p>
            <w:pPr>
              <w:pStyle w:val="Normal"/>
              <w:snapToGrid w:val="false"/>
              <w:ind w:start="-180" w:end="0"/>
              <w:jc w:val="end"/>
              <w:rPr>
                <w:sz w:val="18"/>
              </w:rPr>
            </w:pPr>
            <w:r>
              <w:rPr>
                <w:sz w:val="18"/>
              </w:rPr>
            </w:r>
          </w:p>
        </w:tc>
        <w:tc>
          <w:tcPr>
            <w:tcW w:w="6045" w:type="dxa"/>
            <w:tcBorders/>
          </w:tcPr>
          <w:p>
            <w:pPr>
              <w:pStyle w:val="Normal"/>
              <w:rPr>
                <w:sz w:val="18"/>
              </w:rPr>
            </w:pPr>
            <w:r>
              <w:rPr>
                <w:sz w:val="18"/>
              </w:rPr>
              <w:t>Bill Greenizan (Enron Canada Corp.)</w:t>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tcPr>
          <w:p>
            <w:pPr>
              <w:pStyle w:val="Normal"/>
              <w:snapToGrid w:val="false"/>
              <w:ind w:start="-180" w:end="0"/>
              <w:jc w:val="end"/>
              <w:rPr>
                <w:sz w:val="18"/>
              </w:rPr>
            </w:pPr>
            <w:r>
              <w:rPr>
                <w:sz w:val="18"/>
              </w:rPr>
            </w:r>
          </w:p>
        </w:tc>
        <w:tc>
          <w:tcPr>
            <w:tcW w:w="6045" w:type="dxa"/>
            <w:tcBorders/>
          </w:tcPr>
          <w:p>
            <w:pPr>
              <w:pStyle w:val="Normal"/>
              <w:rPr>
                <w:sz w:val="18"/>
              </w:rPr>
            </w:pPr>
            <w:r>
              <w:rPr>
                <w:sz w:val="18"/>
              </w:rPr>
              <w:t>Rick Shapiro (Enron North America Corp.)</w:t>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tcPr>
          <w:p>
            <w:pPr>
              <w:pStyle w:val="Normal"/>
              <w:snapToGrid w:val="false"/>
              <w:ind w:start="-180" w:end="0"/>
              <w:jc w:val="end"/>
              <w:rPr>
                <w:sz w:val="18"/>
              </w:rPr>
            </w:pPr>
            <w:r>
              <w:rPr>
                <w:sz w:val="18"/>
              </w:rPr>
            </w:r>
          </w:p>
        </w:tc>
        <w:tc>
          <w:tcPr>
            <w:tcW w:w="6045" w:type="dxa"/>
            <w:tcBorders/>
          </w:tcPr>
          <w:p>
            <w:pPr>
              <w:pStyle w:val="Normal"/>
              <w:rPr>
                <w:sz w:val="18"/>
              </w:rPr>
            </w:pPr>
            <w:r>
              <w:rPr>
                <w:sz w:val="18"/>
              </w:rPr>
              <w:t>Aleck Dadson  (Enron Canada Corp.)</w:t>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tcPr>
          <w:p>
            <w:pPr>
              <w:pStyle w:val="Normal"/>
              <w:snapToGrid w:val="false"/>
              <w:ind w:start="-180" w:end="0"/>
              <w:jc w:val="end"/>
              <w:rPr>
                <w:sz w:val="18"/>
              </w:rPr>
            </w:pPr>
            <w:r>
              <w:rPr>
                <w:sz w:val="18"/>
              </w:rPr>
            </w:r>
          </w:p>
        </w:tc>
        <w:tc>
          <w:tcPr>
            <w:tcW w:w="6045" w:type="dxa"/>
            <w:tcBorders/>
          </w:tcPr>
          <w:p>
            <w:pPr>
              <w:pStyle w:val="Normal"/>
              <w:rPr>
                <w:sz w:val="18"/>
              </w:rPr>
            </w:pPr>
            <w:r>
              <w:rPr>
                <w:sz w:val="18"/>
              </w:rPr>
              <w:t>Rob Hemstock  (Enron Canada Corp.)</w:t>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tcPr>
          <w:p>
            <w:pPr>
              <w:pStyle w:val="Normal"/>
              <w:snapToGrid w:val="false"/>
              <w:ind w:start="-180" w:end="0"/>
              <w:jc w:val="end"/>
              <w:rPr>
                <w:sz w:val="18"/>
              </w:rPr>
            </w:pPr>
            <w:r>
              <w:rPr>
                <w:sz w:val="18"/>
              </w:rPr>
            </w:r>
          </w:p>
        </w:tc>
        <w:tc>
          <w:tcPr>
            <w:tcW w:w="6045" w:type="dxa"/>
            <w:tcBorders/>
          </w:tcPr>
          <w:p>
            <w:pPr>
              <w:pStyle w:val="Normal"/>
              <w:rPr>
                <w:sz w:val="18"/>
              </w:rPr>
            </w:pPr>
            <w:r>
              <w:rPr>
                <w:sz w:val="18"/>
              </w:rPr>
              <w:t>Dan Fournier (Blake, Cassels &amp; Graydon LLP, Calgary)</w:t>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tcPr>
          <w:p>
            <w:pPr>
              <w:pStyle w:val="Normal"/>
              <w:ind w:start="-180" w:end="0"/>
              <w:jc w:val="end"/>
              <w:rPr>
                <w:sz w:val="16"/>
              </w:rPr>
            </w:pPr>
            <w:r>
              <w:rPr>
                <w:sz w:val="16"/>
              </w:rPr>
              <w:t>From:</w:t>
            </w:r>
          </w:p>
        </w:tc>
        <w:tc>
          <w:tcPr>
            <w:tcW w:w="6045" w:type="dxa"/>
            <w:tcBorders/>
          </w:tcPr>
          <w:p>
            <w:pPr>
              <w:pStyle w:val="From"/>
              <w:rPr/>
            </w:pPr>
            <w:r>
              <w:rPr/>
              <w:t>Peter Keohane</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Law</w:t>
            </w:r>
          </w:p>
        </w:tc>
      </w:tr>
      <w:tr>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Project Stanley</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t>October 2, 2000</w:t>
            </w:r>
          </w:p>
        </w:tc>
      </w:tr>
    </w:tbl>
    <w:p>
      <w:pPr>
        <w:pStyle w:val="Body"/>
        <w:ind w:start="90" w:end="0"/>
        <w:jc w:val="both"/>
        <w:rPr>
          <w:sz w:val="22"/>
        </w:rPr>
      </w:pPr>
      <w:r>
        <w:rPr>
          <w:sz w:val="22"/>
        </w:rPr>
      </w:r>
      <w:bookmarkStart w:id="1" w:name="StartOfMemo"/>
      <w:bookmarkStart w:id="2" w:name="StartOfMemo"/>
      <w:bookmarkEnd w:id="2"/>
    </w:p>
    <w:p>
      <w:pPr>
        <w:pStyle w:val="Body"/>
        <w:ind w:start="90" w:end="0"/>
        <w:jc w:val="both"/>
        <w:rPr>
          <w:sz w:val="22"/>
        </w:rPr>
      </w:pPr>
      <w:r>
        <w:rPr>
          <w:sz w:val="22"/>
        </w:rPr>
        <w:t>Rob Milnthorp received, without any explanation or cover note, from Industry Canada what is apparently the original documentation which was removed by them under the Search Warrant.</w:t>
      </w:r>
    </w:p>
    <w:p>
      <w:pPr>
        <w:pStyle w:val="Body"/>
        <w:ind w:start="90" w:end="0"/>
        <w:jc w:val="both"/>
        <w:rPr>
          <w:sz w:val="22"/>
        </w:rPr>
      </w:pPr>
      <w:r>
        <w:rPr>
          <w:sz w:val="22"/>
        </w:rPr>
      </w:r>
    </w:p>
    <w:p>
      <w:pPr>
        <w:pStyle w:val="Body"/>
        <w:ind w:start="90" w:end="0"/>
        <w:jc w:val="both"/>
        <w:rPr>
          <w:sz w:val="22"/>
        </w:rPr>
      </w:pPr>
      <w:r>
        <w:rPr>
          <w:sz w:val="22"/>
        </w:rPr>
        <w:t>In this regard:</w:t>
      </w:r>
    </w:p>
    <w:p>
      <w:pPr>
        <w:pStyle w:val="Body"/>
        <w:ind w:start="90" w:end="0"/>
        <w:jc w:val="both"/>
        <w:rPr>
          <w:sz w:val="22"/>
        </w:rPr>
      </w:pPr>
      <w:r>
        <w:rPr>
          <w:sz w:val="22"/>
        </w:rPr>
      </w:r>
    </w:p>
    <w:p>
      <w:pPr>
        <w:pStyle w:val="Sharon1"/>
        <w:numPr>
          <w:ilvl w:val="0"/>
          <w:numId w:val="3"/>
        </w:numPr>
        <w:ind w:hanging="0" w:start="0"/>
        <w:rPr/>
      </w:pPr>
      <w:r>
        <w:rPr/>
        <w:t>Kindly confirm whether or not we are required to continue to retain (i.e. not destroy) this documentation (inventoried in Schedule “A”).</w:t>
      </w:r>
    </w:p>
    <w:p>
      <w:pPr>
        <w:pStyle w:val="Sharon1"/>
        <w:numPr>
          <w:ilvl w:val="0"/>
          <w:numId w:val="3"/>
        </w:numPr>
        <w:ind w:hanging="0" w:start="0"/>
        <w:rPr/>
      </w:pPr>
      <w:r>
        <w:rPr/>
        <w:t>If we are no longer required to retain this documentation, please advise whether it is preferable that it now be destroyed (subject to any commercial or other objections).</w:t>
      </w:r>
    </w:p>
    <w:p>
      <w:pPr>
        <w:pStyle w:val="Sharon1"/>
        <w:numPr>
          <w:ilvl w:val="0"/>
          <w:numId w:val="3"/>
        </w:numPr>
        <w:ind w:hanging="0" w:start="0"/>
        <w:rPr>
          <w:b/>
        </w:rPr>
      </w:pPr>
      <w:r>
        <w:rPr/>
        <w:t>By copy of this memo to the distribution, please see Sharon Crawford with respect to those portions of the information which belongs to you which you would like back, subject to the advice of counsel under paragraph 2 above as to whether this information ought be destroyed.</w:t>
      </w:r>
    </w:p>
    <w:p>
      <w:pPr>
        <w:pStyle w:val="Sharon1"/>
        <w:numPr>
          <w:ilvl w:val="0"/>
          <w:numId w:val="0"/>
        </w:numPr>
        <w:ind w:hanging="18" w:start="90" w:end="0"/>
        <w:rPr>
          <w:b/>
        </w:rPr>
      </w:pPr>
      <w:r>
        <w:rPr>
          <w:b/>
        </w:rPr>
        <w:t>PLEASE ALSO NOTE THAT THE RECORDS RETENTION POLICY HAS NOW BEEN CHANGED WHICH WILL NOW  PROVIDE THAT, WITH LIMITED EXCEPTIONS, TRANSACTION CONFIRMATION TAPE RECORDINGS WILL ONLY BE RETAINED IN THE FUTURE FOR A ONE MONTH PERIOD.  NOTWITHSTANDING THIS POLICY, AND WITH THE POSSIBLE EXCEPTION OF THE SPECIFIC DOCUMENTATION REFERRED TO ABOVE WHICH THE GOVERNMENT HAS NOW RETURNED TO US AND THE ADVICE OF COUNSEL UNDER PARAGRAPH 2 ABOVE AS TO WHETHER THIS DOCUMENTATION CAN NOW BE DESTROYED, NO DOCUMENTATION, INCLUDING TRANSACTIONAL TAPE REPORDINGS, RELEVANT TO PROJECT STANLEY IS TO BE DESTROYED UNLESS AND UNTIL WE HAVE RECEIVED THE SPECIFIC WRITTEN ADVICE OF COUNSEL TO DO SO.</w:t>
      </w:r>
    </w:p>
    <w:p>
      <w:pPr>
        <w:pStyle w:val="Body"/>
        <w:ind w:start="90" w:end="0"/>
        <w:jc w:val="both"/>
        <w:rPr>
          <w:sz w:val="22"/>
        </w:rPr>
      </w:pPr>
      <w:r>
        <w:rPr>
          <w:sz w:val="22"/>
        </w:rPr>
        <w:t>Regards,</w:t>
      </w:r>
    </w:p>
    <w:p>
      <w:pPr>
        <w:pStyle w:val="Body"/>
        <w:ind w:start="90" w:end="0"/>
        <w:jc w:val="both"/>
        <w:rPr>
          <w:sz w:val="22"/>
        </w:rPr>
      </w:pPr>
      <w:r>
        <w:rPr>
          <w:sz w:val="22"/>
        </w:rPr>
        <w:t>Peter</w:t>
      </w:r>
    </w:p>
    <w:p>
      <w:pPr>
        <w:pStyle w:val="Body"/>
        <w:ind w:start="90" w:end="0"/>
        <w:jc w:val="both"/>
        <w:rPr>
          <w:sz w:val="22"/>
        </w:rPr>
      </w:pPr>
      <w:r>
        <w:rPr>
          <w:sz w:val="22"/>
        </w:rPr>
      </w:r>
    </w:p>
    <w:p>
      <w:pPr>
        <w:pStyle w:val="Body"/>
        <w:ind w:start="90" w:end="0"/>
        <w:jc w:val="both"/>
        <w:rPr>
          <w:sz w:val="22"/>
        </w:rPr>
      </w:pPr>
      <w:r>
        <w:rPr>
          <w:sz w:val="22"/>
        </w:rPr>
      </w:r>
    </w:p>
    <w:p>
      <w:pPr>
        <w:pStyle w:val="Body"/>
        <w:ind w:start="90" w:end="0"/>
        <w:jc w:val="both"/>
        <w:rPr>
          <w:sz w:val="22"/>
        </w:rPr>
      </w:pPr>
      <w:r>
        <w:rPr>
          <w:sz w:val="22"/>
        </w:rPr>
      </w:r>
    </w:p>
    <w:p>
      <w:pPr>
        <w:pStyle w:val="Body"/>
        <w:ind w:start="90" w:end="0"/>
        <w:jc w:val="both"/>
        <w:rPr>
          <w:sz w:val="22"/>
        </w:rPr>
      </w:pPr>
      <w:r>
        <w:rPr>
          <w:sz w:val="22"/>
        </w:rPr>
      </w:r>
    </w:p>
    <w:p>
      <w:pPr>
        <w:pStyle w:val="Body"/>
        <w:ind w:start="90" w:end="0"/>
        <w:jc w:val="both"/>
        <w:rPr>
          <w:sz w:val="22"/>
        </w:rPr>
      </w:pPr>
      <w:r>
        <w:rPr>
          <w:sz w:val="22"/>
        </w:rPr>
      </w:r>
    </w:p>
    <w:p>
      <w:pPr>
        <w:pStyle w:val="Body"/>
        <w:ind w:start="90" w:end="0"/>
        <w:jc w:val="center"/>
        <w:rPr>
          <w:sz w:val="22"/>
        </w:rPr>
      </w:pPr>
      <w:r>
        <w:rPr>
          <w:sz w:val="22"/>
        </w:rPr>
        <w:t>Schedule “A”</w:t>
      </w:r>
    </w:p>
    <w:p>
      <w:pPr>
        <w:pStyle w:val="Body"/>
        <w:ind w:start="90" w:end="0"/>
        <w:jc w:val="center"/>
        <w:rPr>
          <w:sz w:val="22"/>
        </w:rPr>
      </w:pPr>
      <w:r>
        <w:rPr>
          <w:sz w:val="22"/>
        </w:rPr>
      </w:r>
    </w:p>
    <w:p>
      <w:pPr>
        <w:pStyle w:val="Body"/>
        <w:ind w:start="90" w:end="0"/>
        <w:jc w:val="center"/>
        <w:rPr>
          <w:sz w:val="22"/>
        </w:rPr>
      </w:pPr>
      <w:r>
        <w:rPr>
          <w:sz w:val="22"/>
        </w:rPr>
      </w:r>
    </w:p>
    <w:p>
      <w:pPr>
        <w:pStyle w:val="Normal"/>
        <w:rPr>
          <w:rFonts w:ascii="Arial" w:hAnsi="Arial" w:cs="Arial"/>
          <w:sz w:val="22"/>
        </w:rPr>
      </w:pPr>
      <w:r>
        <w:rPr>
          <w:rFonts w:cs="Arial" w:ascii="Arial" w:hAnsi="Arial"/>
          <w:sz w:val="22"/>
        </w:rPr>
        <w:t>1.</w:t>
        <w:tab/>
        <w:t>One (1) transactional tape recording marked GGFR 10</w:t>
      </w:r>
    </w:p>
    <w:p>
      <w:pPr>
        <w:pStyle w:val="Normal"/>
        <w:numPr>
          <w:ilvl w:val="0"/>
          <w:numId w:val="2"/>
        </w:numPr>
        <w:rPr>
          <w:rFonts w:ascii="Arial" w:hAnsi="Arial" w:cs="Arial"/>
          <w:sz w:val="22"/>
        </w:rPr>
      </w:pPr>
      <w:r>
        <w:rPr>
          <w:rFonts w:cs="Arial" w:ascii="Arial" w:hAnsi="Arial"/>
          <w:sz w:val="22"/>
        </w:rPr>
        <w:t>Power trading book for Dec 98 through Mar 00 GGFN 60</w:t>
      </w:r>
    </w:p>
    <w:p>
      <w:pPr>
        <w:pStyle w:val="Normal"/>
        <w:numPr>
          <w:ilvl w:val="0"/>
          <w:numId w:val="2"/>
        </w:numPr>
        <w:rPr>
          <w:rFonts w:ascii="Arial" w:hAnsi="Arial" w:cs="Arial"/>
          <w:sz w:val="22"/>
        </w:rPr>
      </w:pPr>
      <w:r>
        <w:rPr>
          <w:rFonts w:cs="Arial" w:ascii="Arial" w:hAnsi="Arial"/>
          <w:sz w:val="22"/>
        </w:rPr>
        <w:t>Enpower Questions memorandum from Bill Greenizan to Peggy Hedstrom dated June 18, 1999 marked GGFR 1 through GGFR 9.</w:t>
      </w:r>
    </w:p>
    <w:p>
      <w:pPr>
        <w:pStyle w:val="Normal"/>
        <w:numPr>
          <w:ilvl w:val="0"/>
          <w:numId w:val="2"/>
        </w:numPr>
        <w:rPr>
          <w:rFonts w:ascii="Arial" w:hAnsi="Arial" w:cs="Arial"/>
          <w:sz w:val="22"/>
        </w:rPr>
      </w:pPr>
      <w:r>
        <w:rPr>
          <w:rFonts w:cs="Arial" w:ascii="Arial" w:hAnsi="Arial"/>
          <w:sz w:val="22"/>
        </w:rPr>
        <w:t>ECT Canada Power Transaction Procedures memorandum marked GGFN 5 through GGFN 7.</w:t>
      </w:r>
    </w:p>
    <w:p>
      <w:pPr>
        <w:pStyle w:val="Normal"/>
        <w:numPr>
          <w:ilvl w:val="0"/>
          <w:numId w:val="2"/>
        </w:numPr>
        <w:rPr>
          <w:rFonts w:ascii="Arial" w:hAnsi="Arial" w:cs="Arial"/>
          <w:sz w:val="22"/>
        </w:rPr>
      </w:pPr>
      <w:r>
        <w:rPr>
          <w:rFonts w:cs="Arial" w:ascii="Arial" w:hAnsi="Arial"/>
          <w:sz w:val="22"/>
        </w:rPr>
        <w:t>ECT Canada Power Transaction Procedures memorandum marked GGFN 9 through GGFN 12.</w:t>
      </w:r>
    </w:p>
    <w:p>
      <w:pPr>
        <w:pStyle w:val="Normal"/>
        <w:numPr>
          <w:ilvl w:val="0"/>
          <w:numId w:val="2"/>
        </w:numPr>
        <w:rPr>
          <w:rFonts w:ascii="Arial" w:hAnsi="Arial" w:cs="Arial"/>
          <w:sz w:val="22"/>
        </w:rPr>
      </w:pPr>
      <w:r>
        <w:rPr>
          <w:rFonts w:cs="Arial" w:ascii="Arial" w:hAnsi="Arial"/>
          <w:sz w:val="22"/>
        </w:rPr>
        <w:t>Alberta Peaker Project Information Memorandum dated September 29, 1999 marked GGFN 35 through GGFN 59.</w:t>
      </w:r>
    </w:p>
    <w:p>
      <w:pPr>
        <w:pStyle w:val="Normal"/>
        <w:numPr>
          <w:ilvl w:val="0"/>
          <w:numId w:val="2"/>
        </w:numPr>
        <w:rPr>
          <w:rFonts w:ascii="Arial" w:hAnsi="Arial" w:cs="Arial"/>
          <w:sz w:val="22"/>
        </w:rPr>
      </w:pPr>
      <w:r>
        <w:rPr>
          <w:rFonts w:cs="Arial" w:ascii="Arial" w:hAnsi="Arial"/>
          <w:sz w:val="22"/>
        </w:rPr>
        <w:t>Contact List – Power marked GGFN 162 through GGFN 163.</w:t>
      </w:r>
    </w:p>
    <w:p>
      <w:pPr>
        <w:pStyle w:val="Normal"/>
        <w:numPr>
          <w:ilvl w:val="0"/>
          <w:numId w:val="2"/>
        </w:numPr>
        <w:rPr>
          <w:rFonts w:ascii="Arial" w:hAnsi="Arial" w:cs="Arial"/>
          <w:sz w:val="22"/>
        </w:rPr>
      </w:pPr>
      <w:r>
        <w:rPr>
          <w:rFonts w:cs="Arial" w:ascii="Arial" w:hAnsi="Arial"/>
          <w:sz w:val="22"/>
        </w:rPr>
        <w:t>Enron Canada Management Offsite – July 07, 1999 marked GGFN 164.</w:t>
      </w:r>
    </w:p>
    <w:p>
      <w:pPr>
        <w:pStyle w:val="Normal"/>
        <w:numPr>
          <w:ilvl w:val="0"/>
          <w:numId w:val="2"/>
        </w:numPr>
        <w:rPr>
          <w:rFonts w:ascii="Arial" w:hAnsi="Arial" w:cs="Arial"/>
          <w:sz w:val="22"/>
        </w:rPr>
      </w:pPr>
      <w:r>
        <w:rPr>
          <w:rFonts w:cs="Arial" w:ascii="Arial" w:hAnsi="Arial"/>
          <w:sz w:val="22"/>
        </w:rPr>
        <w:t>Handwritten notes regarding the Alcan deal marked GGFN 165 and GGFN 166.</w:t>
      </w:r>
    </w:p>
    <w:p>
      <w:pPr>
        <w:pStyle w:val="Normal"/>
        <w:numPr>
          <w:ilvl w:val="0"/>
          <w:numId w:val="2"/>
        </w:numPr>
        <w:rPr>
          <w:rFonts w:ascii="Arial" w:hAnsi="Arial" w:cs="Arial"/>
          <w:sz w:val="22"/>
        </w:rPr>
      </w:pPr>
      <w:r>
        <w:rPr>
          <w:rFonts w:cs="Arial" w:ascii="Arial" w:hAnsi="Arial"/>
          <w:sz w:val="22"/>
        </w:rPr>
        <w:t>Document entitled September 1999, (Purchases) marked GGFN 167 with attachments marked GGFN 168 through GGFN 175.</w:t>
      </w:r>
    </w:p>
    <w:p>
      <w:pPr>
        <w:pStyle w:val="Normal"/>
        <w:numPr>
          <w:ilvl w:val="0"/>
          <w:numId w:val="2"/>
        </w:numPr>
        <w:rPr>
          <w:rFonts w:ascii="Arial" w:hAnsi="Arial" w:cs="Arial"/>
          <w:sz w:val="22"/>
        </w:rPr>
      </w:pPr>
      <w:r>
        <w:rPr>
          <w:rFonts w:cs="Arial" w:ascii="Arial" w:hAnsi="Arial"/>
          <w:sz w:val="22"/>
        </w:rPr>
        <w:t>Document entitled August, 1999 (Purchases) marked GGFN 176 with attachments marked GGFN 177 through GGFN 181.</w:t>
      </w:r>
    </w:p>
    <w:p>
      <w:pPr>
        <w:pStyle w:val="Normal"/>
        <w:numPr>
          <w:ilvl w:val="0"/>
          <w:numId w:val="2"/>
        </w:numPr>
        <w:rPr>
          <w:rFonts w:ascii="Arial" w:hAnsi="Arial" w:cs="Arial"/>
          <w:sz w:val="22"/>
        </w:rPr>
      </w:pPr>
      <w:r>
        <w:rPr>
          <w:rFonts w:cs="Arial" w:ascii="Arial" w:hAnsi="Arial"/>
          <w:sz w:val="22"/>
        </w:rPr>
        <w:t>Document entitled July 1999, (Purchases) marked GGFN 182 with attachments marked GGFN 183 through GGFN 185.</w:t>
      </w:r>
    </w:p>
    <w:p>
      <w:pPr>
        <w:pStyle w:val="Normal"/>
        <w:numPr>
          <w:ilvl w:val="0"/>
          <w:numId w:val="2"/>
        </w:numPr>
        <w:rPr>
          <w:rFonts w:ascii="Arial" w:hAnsi="Arial" w:cs="Arial"/>
          <w:sz w:val="22"/>
        </w:rPr>
      </w:pPr>
      <w:r>
        <w:rPr>
          <w:rFonts w:cs="Arial" w:ascii="Arial" w:hAnsi="Arial"/>
          <w:sz w:val="22"/>
        </w:rPr>
        <w:t>Document entitled June 1999, (Purchases) marked GGFN 186 with attachments marked GGFN 187 through GGFN 190.</w:t>
      </w:r>
    </w:p>
    <w:p>
      <w:pPr>
        <w:pStyle w:val="Normal"/>
        <w:numPr>
          <w:ilvl w:val="0"/>
          <w:numId w:val="2"/>
        </w:numPr>
        <w:rPr>
          <w:rFonts w:ascii="Arial" w:hAnsi="Arial" w:cs="Arial"/>
          <w:sz w:val="22"/>
        </w:rPr>
      </w:pPr>
      <w:r>
        <w:rPr>
          <w:rFonts w:cs="Arial" w:ascii="Arial" w:hAnsi="Arial"/>
          <w:sz w:val="22"/>
        </w:rPr>
        <w:t>Document entitled July, 1999 (Sales) marked GGFN 191 with attachments marked GGFN 192 and GGFN 193.</w:t>
      </w:r>
    </w:p>
    <w:p>
      <w:pPr>
        <w:pStyle w:val="Normal"/>
        <w:numPr>
          <w:ilvl w:val="0"/>
          <w:numId w:val="2"/>
        </w:numPr>
        <w:rPr>
          <w:rFonts w:ascii="Arial" w:hAnsi="Arial" w:cs="Arial"/>
          <w:sz w:val="22"/>
        </w:rPr>
      </w:pPr>
      <w:r>
        <w:rPr>
          <w:rFonts w:cs="Arial" w:ascii="Arial" w:hAnsi="Arial"/>
          <w:sz w:val="22"/>
        </w:rPr>
        <w:t>Document entitled June, 1999 (Sales) marked GGFN 194 with attachments marked GGFN 195 through GGFN 201.</w:t>
      </w:r>
    </w:p>
    <w:p>
      <w:pPr>
        <w:pStyle w:val="Normal"/>
        <w:numPr>
          <w:ilvl w:val="0"/>
          <w:numId w:val="2"/>
        </w:numPr>
        <w:rPr>
          <w:rFonts w:ascii="Arial" w:hAnsi="Arial" w:cs="Arial"/>
          <w:sz w:val="22"/>
        </w:rPr>
      </w:pPr>
      <w:r>
        <w:rPr>
          <w:rFonts w:cs="Arial" w:ascii="Arial" w:hAnsi="Arial"/>
          <w:sz w:val="22"/>
        </w:rPr>
        <w:t>Document entitled May, 1999 (Sales) marked GGFN 202 with attachments marked GGFN 203 through GGFN 210.</w:t>
      </w:r>
    </w:p>
    <w:p>
      <w:pPr>
        <w:pStyle w:val="Normal"/>
        <w:numPr>
          <w:ilvl w:val="0"/>
          <w:numId w:val="2"/>
        </w:numPr>
        <w:rPr>
          <w:rFonts w:ascii="Arial" w:hAnsi="Arial" w:cs="Arial"/>
          <w:sz w:val="22"/>
        </w:rPr>
      </w:pPr>
      <w:r>
        <w:rPr>
          <w:rFonts w:cs="Arial" w:ascii="Arial" w:hAnsi="Arial"/>
          <w:sz w:val="22"/>
        </w:rPr>
        <w:t>Telus telephone records marked GGFN 211 through GGFN 372.</w:t>
      </w:r>
    </w:p>
    <w:p>
      <w:pPr>
        <w:pStyle w:val="Normal"/>
        <w:numPr>
          <w:ilvl w:val="0"/>
          <w:numId w:val="2"/>
        </w:numPr>
        <w:rPr>
          <w:rFonts w:ascii="Arial" w:hAnsi="Arial" w:cs="Arial"/>
          <w:sz w:val="22"/>
        </w:rPr>
      </w:pPr>
      <w:r>
        <w:rPr>
          <w:rFonts w:cs="Arial" w:ascii="Arial" w:hAnsi="Arial"/>
          <w:sz w:val="22"/>
        </w:rPr>
        <w:t>Copy of cheque paid from Enron Canada Corp. to Telus Communications Inc. for $15,933.00 dated 10/19/99 marked GGFN 373, with Telus telephone records attached marked GGFN 374 through GGFN 565.</w:t>
      </w:r>
    </w:p>
    <w:p>
      <w:pPr>
        <w:pStyle w:val="Normal"/>
        <w:numPr>
          <w:ilvl w:val="0"/>
          <w:numId w:val="2"/>
        </w:numPr>
        <w:rPr>
          <w:rFonts w:ascii="Arial" w:hAnsi="Arial" w:cs="Arial"/>
          <w:sz w:val="22"/>
        </w:rPr>
      </w:pPr>
      <w:r>
        <w:rPr>
          <w:rFonts w:cs="Arial" w:ascii="Arial" w:hAnsi="Arial"/>
          <w:sz w:val="22"/>
        </w:rPr>
        <w:t>Handwritten note regarding Telus telephone records marked GGFN 567, with Telus telephone records attached marked GGFN 568 through GGFN 778.</w:t>
      </w:r>
    </w:p>
    <w:p>
      <w:pPr>
        <w:pStyle w:val="Normal"/>
        <w:numPr>
          <w:ilvl w:val="0"/>
          <w:numId w:val="2"/>
        </w:numPr>
        <w:rPr>
          <w:rFonts w:ascii="Arial" w:hAnsi="Arial" w:cs="Arial"/>
          <w:sz w:val="22"/>
        </w:rPr>
      </w:pPr>
      <w:r>
        <w:rPr>
          <w:rFonts w:cs="Arial" w:ascii="Arial" w:hAnsi="Arial"/>
          <w:sz w:val="22"/>
        </w:rPr>
        <w:t>Telus telephone records marked GGFN 780 through GGFN 963.</w:t>
      </w:r>
    </w:p>
    <w:p>
      <w:pPr>
        <w:pStyle w:val="Normal"/>
        <w:numPr>
          <w:ilvl w:val="0"/>
          <w:numId w:val="2"/>
        </w:numPr>
        <w:rPr>
          <w:rFonts w:ascii="Arial" w:hAnsi="Arial" w:cs="Arial"/>
          <w:sz w:val="22"/>
        </w:rPr>
      </w:pPr>
      <w:r>
        <w:rPr>
          <w:rFonts w:cs="Arial" w:ascii="Arial" w:hAnsi="Arial"/>
          <w:sz w:val="22"/>
        </w:rPr>
        <w:t>Copy of cheque paid from Enron Canada Corp. to Telus Communications Inc. for $27,045.87 dated 12/06/99 marked GGFN 965, with handwritten note attached marked GGFN 966 and Telus telephone records attached marked GGFN 968 through GGFN 1161.</w:t>
      </w:r>
    </w:p>
    <w:p>
      <w:pPr>
        <w:pStyle w:val="Normal"/>
        <w:numPr>
          <w:ilvl w:val="0"/>
          <w:numId w:val="2"/>
        </w:numPr>
        <w:rPr>
          <w:rFonts w:ascii="Arial" w:hAnsi="Arial" w:cs="Arial"/>
          <w:sz w:val="22"/>
        </w:rPr>
      </w:pPr>
      <w:r>
        <w:rPr>
          <w:rFonts w:cs="Arial" w:ascii="Arial" w:hAnsi="Arial"/>
          <w:sz w:val="22"/>
        </w:rPr>
        <w:t>Handwritten note marked GGFN 1162 with Telus telephone records attached marked GGFN 1163 through GGFN 1385.</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/mnt/main-storage/datasets/enron-docs/doc/PrivilegedMemo.doc</w:t>
    </w:r>
    <w:r>
      <w:rPr>
        <w:sz w:val="16"/>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70104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104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2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1440"/>
        </w:tabs>
        <w:ind w:start="1440" w:hanging="720"/>
      </w:pPr>
      <w:rPr>
        <w:sz w:val="22"/>
        <w:rFonts w:ascii="Arial" w:hAnsi="Arial" w:cs="Arial"/>
      </w:rPr>
    </w:lvl>
    <w:lvl w:ilvl="1">
      <w:start w:val="1"/>
      <w:numFmt w:val="lowerLetter"/>
      <w:lvlText w:val="(%2)"/>
      <w:lvlJc w:val="start"/>
      <w:pPr>
        <w:tabs>
          <w:tab w:val="num" w:pos="1440"/>
        </w:tabs>
        <w:ind w:start="1440" w:hanging="720"/>
      </w:pPr>
    </w:lvl>
    <w:lvl w:ilvl="2">
      <w:start w:val="1"/>
      <w:numFmt w:val="lowerRoman"/>
      <w:lvlText w:val="%3)"/>
      <w:lvlJc w:val="start"/>
      <w:pPr>
        <w:tabs>
          <w:tab w:val="num" w:pos="2160"/>
        </w:tabs>
        <w:ind w:start="2160" w:hanging="720"/>
      </w:pPr>
    </w:lvl>
    <w:lvl w:ilvl="3">
      <w:start w:val="1"/>
      <w:numFmt w:val="decimal"/>
      <w:lvlText w:val="(%4)"/>
      <w:lvlJc w:val="start"/>
      <w:pPr>
        <w:tabs>
          <w:tab w:val="num" w:pos="2880"/>
        </w:tabs>
        <w:ind w:start="2880" w:hanging="72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2"/>
      <w:numFmt w:val="decimal"/>
      <w:lvlText w:val="%1."/>
      <w:lvlJc w:val="start"/>
      <w:pPr>
        <w:tabs>
          <w:tab w:val="num" w:pos="720"/>
        </w:tabs>
        <w:ind w:start="720" w:hanging="720"/>
      </w:pPr>
      <w:rPr/>
    </w:lvl>
  </w:abstractNum>
  <w:abstractNum w:abstractNumId="3">
    <w:lvl w:ilvl="0">
      <w:start w:val="1"/>
      <w:numFmt w:val="decimal"/>
      <w:lvlText w:val="%1."/>
      <w:lvlJc w:val="start"/>
      <w:pPr>
        <w:tabs>
          <w:tab w:val="num" w:pos="720"/>
        </w:tabs>
        <w:ind w:start="720" w:hanging="648"/>
      </w:pPr>
      <w:rPr>
        <w:sz w:val="22"/>
        <w:i w:val="false"/>
        <w:b w:val="false"/>
        <w:rFonts w:ascii="Arial" w:hAnsi="Arial" w:cs="Arial"/>
      </w:rPr>
    </w:lvl>
    <w:lvl w:ilvl="1">
      <w:start w:val="1"/>
      <w:numFmt w:val="lowerLetter"/>
      <w:lvlText w:val="(%2)"/>
      <w:lvlJc w:val="start"/>
      <w:pPr>
        <w:tabs>
          <w:tab w:val="num" w:pos="1440"/>
        </w:tabs>
        <w:ind w:start="1440" w:hanging="720"/>
      </w:pPr>
    </w:lvl>
    <w:lvl w:ilvl="2">
      <w:start w:val="1"/>
      <w:numFmt w:val="lowerRoman"/>
      <w:lvlText w:val="%3)"/>
      <w:lvlJc w:val="start"/>
      <w:pPr>
        <w:tabs>
          <w:tab w:val="num" w:pos="2160"/>
        </w:tabs>
        <w:ind w:start="2160" w:hanging="720"/>
      </w:pPr>
    </w:lvl>
    <w:lvl w:ilvl="3">
      <w:start w:val="1"/>
      <w:numFmt w:val="decimal"/>
      <w:lvlText w:val="(%4)"/>
      <w:lvlJc w:val="start"/>
      <w:pPr>
        <w:tabs>
          <w:tab w:val="num" w:pos="2880"/>
        </w:tabs>
        <w:ind w:start="2880" w:hanging="72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Arial" w:hAnsi="Arial" w:cs="Arial"/>
      <w:sz w:val="22"/>
    </w:rPr>
  </w:style>
  <w:style w:type="character" w:styleId="WW8Num2z0">
    <w:name w:val="WW8Num2z0"/>
    <w:qFormat/>
    <w:rPr/>
  </w:style>
  <w:style w:type="character" w:styleId="WW8Num3z0">
    <w:name w:val="WW8Num3z0"/>
    <w:qFormat/>
    <w:rPr>
      <w:rFonts w:ascii="Arial" w:hAnsi="Arial" w:cs="Arial"/>
      <w:b w:val="false"/>
      <w:i w:val="false"/>
      <w:sz w:val="22"/>
    </w:rPr>
  </w:style>
  <w:style w:type="character" w:styleId="DefaultParagraphFont">
    <w:name w:val="Default Paragraph Font"/>
    <w:qForma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Arial" w:hAnsi="Arial" w:cs="Arial"/>
      <w:sz w:val="24"/>
    </w:rPr>
  </w:style>
  <w:style w:type="paragraph" w:styleId="Header">
    <w:name w:val="header"/>
    <w:basedOn w:val="Normal"/>
    <w:pPr>
      <w:tabs>
        <w:tab w:val="clear" w:pos="720"/>
        <w:tab w:val="center" w:pos="4320" w:leader="none"/>
        <w:tab w:val="right" w:pos="8640" w:leader="none"/>
      </w:tabs>
    </w:pPr>
    <w:rPr>
      <w:rFonts w:ascii="Arial" w:hAnsi="Arial" w:cs="Arial"/>
      <w:sz w:val="24"/>
    </w:rPr>
  </w:style>
  <w:style w:type="paragraph" w:styleId="Subject">
    <w:name w:val="Subject"/>
    <w:basedOn w:val="Normal"/>
    <w:qFormat/>
    <w:pPr/>
    <w:rPr>
      <w:rFonts w:ascii="Arial" w:hAnsi="Arial" w:cs="Arial"/>
    </w:rPr>
  </w:style>
  <w:style w:type="paragraph" w:styleId="Date">
    <w:name w:val="Date"/>
    <w:basedOn w:val="Normal"/>
    <w:qFormat/>
    <w:pPr/>
    <w:rPr>
      <w:rFonts w:ascii="Arial" w:hAnsi="Arial" w:cs="Arial"/>
    </w:rPr>
  </w:style>
  <w:style w:type="paragraph" w:styleId="To">
    <w:name w:val="To"/>
    <w:basedOn w:val="Normal"/>
    <w:qFormat/>
    <w:pPr/>
    <w:rPr>
      <w:rFonts w:ascii="Arial" w:hAnsi="Arial" w:cs="Arial"/>
    </w:rPr>
  </w:style>
  <w:style w:type="paragraph" w:styleId="From">
    <w:name w:val="From"/>
    <w:basedOn w:val="Normal"/>
    <w:qFormat/>
    <w:pPr/>
    <w:rPr>
      <w:rFonts w:ascii="Arial" w:hAnsi="Arial" w:cs="Arial"/>
    </w:rPr>
  </w:style>
  <w:style w:type="paragraph" w:styleId="Body">
    <w:name w:val="Body"/>
    <w:basedOn w:val="Normal"/>
    <w:qFormat/>
    <w:pPr>
      <w:ind w:hanging="0" w:start="72" w:end="0"/>
    </w:pPr>
    <w:rPr>
      <w:rFonts w:ascii="Arial" w:hAnsi="Arial" w:cs="Arial"/>
      <w:color w:val="000080"/>
    </w:rPr>
  </w:style>
  <w:style w:type="paragraph" w:styleId="Department">
    <w:name w:val="Department"/>
    <w:basedOn w:val="Normal"/>
    <w:qFormat/>
    <w:pPr/>
    <w:rPr>
      <w:rFonts w:ascii="Arial" w:hAnsi="Arial" w:cs="Arial"/>
    </w:rPr>
  </w:style>
  <w:style w:type="paragraph" w:styleId="Sharon1">
    <w:name w:val="Sharon1"/>
    <w:basedOn w:val="Normal"/>
    <w:qFormat/>
    <w:pPr>
      <w:numPr>
        <w:ilvl w:val="0"/>
        <w:numId w:val="3"/>
      </w:numPr>
      <w:spacing w:before="0" w:after="240"/>
      <w:jc w:val="both"/>
    </w:pPr>
    <w:rPr>
      <w:rFonts w:ascii="Arial" w:hAnsi="Arial" w:cs="Arial"/>
      <w:sz w:val="22"/>
    </w:rPr>
  </w:style>
  <w:style w:type="paragraph" w:styleId="Sharon2">
    <w:name w:val="Sharon2"/>
    <w:basedOn w:val="Normal"/>
    <w:qFormat/>
    <w:pPr>
      <w:numPr>
        <w:ilvl w:val="0"/>
        <w:numId w:val="1"/>
      </w:numPr>
      <w:spacing w:before="0" w:after="240"/>
      <w:jc w:val="both"/>
    </w:pPr>
    <w:rPr>
      <w:rFonts w:ascii="Arial" w:hAnsi="Arial" w:cs="Arial"/>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PCKMemo.dot</Template>
  <TotalTime>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2000-10-02T16:35:00Z</dcterms:created>
  <dc:creator>scrawfo3</dc:creator>
  <dc:description/>
  <dc:language>en-CA</dc:language>
  <cp:lastModifiedBy>scrawfo3</cp:lastModifiedBy>
  <cp:lastPrinted>2000-10-03T10:55:00Z</cp:lastPrinted>
  <dcterms:modified xsi:type="dcterms:W3CDTF">2000-10-03T14:25:00Z</dcterms:modified>
  <cp:revision>12</cp:revision>
  <dc:subject/>
  <dc:title> </dc:title>
</cp:coreProperties>
</file>