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0" w:type="dxa"/>
        <w:tblLayout w:type="fixed"/>
        <w:tblCellMar>
          <w:top w:w="0" w:type="dxa"/>
          <w:start w:w="108" w:type="dxa"/>
          <w:bottom w:w="0" w:type="dxa"/>
          <w:end w:w="108" w:type="dxa"/>
        </w:tblCellMar>
      </w:tblPr>
      <w:tblGrid>
        <w:gridCol w:w="2448"/>
        <w:gridCol w:w="4500"/>
        <w:gridCol w:w="2520"/>
      </w:tblGrid>
      <w:tr>
        <w:trPr/>
        <w:tc>
          <w:tcPr>
            <w:tcW w:w="2448" w:type="dxa"/>
            <w:tcBorders/>
          </w:tcPr>
          <w:p>
            <w:pPr>
              <w:pStyle w:val="Heading"/>
              <w:rPr>
                <w:sz w:val="20"/>
              </w:rPr>
            </w:pPr>
            <w:r>
              <w:rPr>
                <w:sz w:val="20"/>
              </w:rPr>
              <w:drawing>
                <wp:inline distT="0" distB="0" distL="0" distR="0">
                  <wp:extent cx="1095375" cy="11245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124585"/>
                          </a:xfrm>
                          <a:prstGeom prst="rect">
                            <a:avLst/>
                          </a:prstGeom>
                          <a:noFill/>
                        </pic:spPr>
                      </pic:pic>
                    </a:graphicData>
                  </a:graphic>
                </wp:inline>
              </w:drawing>
            </w:r>
          </w:p>
          <w:p>
            <w:pPr>
              <w:pStyle w:val="Normal"/>
              <w:spacing w:before="20" w:after="0"/>
              <w:rPr/>
            </w:pPr>
            <w:r>
              <w:rPr/>
            </w:r>
          </w:p>
        </w:tc>
        <w:tc>
          <w:tcPr>
            <w:tcW w:w="4500" w:type="dxa"/>
            <w:tcBorders/>
          </w:tcPr>
          <w:p>
            <w:pPr>
              <w:pStyle w:val="Normal"/>
              <w:snapToGrid w:val="false"/>
              <w:jc w:val="both"/>
              <w:rPr>
                <w:b/>
                <w:sz w:val="36"/>
              </w:rPr>
            </w:pPr>
            <w:r>
              <w:rPr>
                <w:b/>
                <w:sz w:val="36"/>
              </w:rPr>
            </w:r>
          </w:p>
        </w:tc>
        <w:tc>
          <w:tcPr>
            <w:tcW w:w="2520" w:type="dxa"/>
            <w:tcBorders/>
          </w:tcPr>
          <w:p>
            <w:pPr>
              <w:pStyle w:val="Normal"/>
              <w:snapToGrid w:val="false"/>
              <w:jc w:val="both"/>
              <w:rPr>
                <w:b/>
                <w:sz w:val="36"/>
              </w:rPr>
            </w:pPr>
            <w:r>
              <w:rPr>
                <w:b/>
                <w:sz w:val="36"/>
              </w:rPr>
            </w:r>
          </w:p>
        </w:tc>
      </w:tr>
      <w:tr>
        <w:trPr/>
        <w:tc>
          <w:tcPr>
            <w:tcW w:w="2448" w:type="dxa"/>
            <w:tcBorders/>
          </w:tcPr>
          <w:p>
            <w:pPr>
              <w:pStyle w:val="Normal"/>
              <w:snapToGrid w:val="false"/>
              <w:jc w:val="both"/>
              <w:rPr>
                <w:b/>
                <w:sz w:val="36"/>
              </w:rPr>
            </w:pPr>
            <w:r>
              <w:rPr>
                <w:b/>
                <w:sz w:val="36"/>
              </w:rPr>
            </w:r>
          </w:p>
        </w:tc>
        <w:tc>
          <w:tcPr>
            <w:tcW w:w="4500" w:type="dxa"/>
            <w:tcBorders/>
          </w:tcPr>
          <w:p>
            <w:pPr>
              <w:pStyle w:val="Normal"/>
              <w:snapToGrid w:val="false"/>
              <w:jc w:val="both"/>
              <w:rPr>
                <w:b/>
              </w:rPr>
            </w:pPr>
            <w:r>
              <w:rPr>
                <w:b/>
              </w:rPr>
            </w:r>
          </w:p>
        </w:tc>
        <w:tc>
          <w:tcPr>
            <w:tcW w:w="2520" w:type="dxa"/>
            <w:tcBorders/>
          </w:tcPr>
          <w:p>
            <w:pPr>
              <w:pStyle w:val="Normal"/>
              <w:snapToGrid w:val="false"/>
              <w:jc w:val="both"/>
              <w:rPr>
                <w:b/>
              </w:rPr>
            </w:pPr>
            <w:r>
              <w:rPr>
                <w:b/>
              </w:rPr>
            </w:r>
          </w:p>
        </w:tc>
      </w:tr>
    </w:tbl>
    <w:p>
      <w:pPr>
        <w:pStyle w:val="Normal"/>
        <w:pBdr>
          <w:top w:val="double" w:sz="12" w:space="1" w:color="000000"/>
        </w:pBdr>
        <w:jc w:val="center"/>
        <w:rPr>
          <w:b/>
          <w:sz w:val="28"/>
        </w:rPr>
      </w:pPr>
      <w:r>
        <w:rPr>
          <w:b/>
          <w:sz w:val="28"/>
        </w:rPr>
        <w:t>PRIVILEGED AND CONFIDENTIAL</w:t>
      </w:r>
    </w:p>
    <w:p>
      <w:pPr>
        <w:pStyle w:val="Normal"/>
        <w:pBdr>
          <w:top w:val="double" w:sz="12" w:space="1" w:color="000000"/>
        </w:pBdr>
        <w:jc w:val="center"/>
        <w:rPr>
          <w:b/>
          <w:sz w:val="20"/>
        </w:rPr>
      </w:pPr>
      <w:r>
        <w:rPr>
          <w:b/>
          <w:sz w:val="20"/>
        </w:rPr>
      </w:r>
    </w:p>
    <w:tbl>
      <w:tblPr>
        <w:tblW w:w="8748" w:type="dxa"/>
        <w:jc w:val="start"/>
        <w:tblInd w:w="0" w:type="dxa"/>
        <w:tblLayout w:type="fixed"/>
        <w:tblCellMar>
          <w:top w:w="0" w:type="dxa"/>
          <w:start w:w="108" w:type="dxa"/>
          <w:bottom w:w="0" w:type="dxa"/>
          <w:end w:w="108" w:type="dxa"/>
        </w:tblCellMar>
      </w:tblPr>
      <w:tblGrid>
        <w:gridCol w:w="1908"/>
        <w:gridCol w:w="2430"/>
        <w:gridCol w:w="2070"/>
        <w:gridCol w:w="1890"/>
        <w:gridCol w:w="450"/>
      </w:tblGrid>
      <w:tr>
        <w:trPr/>
        <w:tc>
          <w:tcPr>
            <w:tcW w:w="1908" w:type="dxa"/>
            <w:tcBorders/>
          </w:tcPr>
          <w:p>
            <w:pPr>
              <w:pStyle w:val="Normal"/>
              <w:spacing w:before="0" w:after="120"/>
              <w:jc w:val="both"/>
              <w:rPr>
                <w:sz w:val="18"/>
              </w:rPr>
            </w:pPr>
            <w:r>
              <w:rPr>
                <w:b/>
                <w:sz w:val="18"/>
              </w:rPr>
              <w:t>TO:</w:t>
            </w:r>
          </w:p>
        </w:tc>
        <w:tc>
          <w:tcPr>
            <w:tcW w:w="2430" w:type="dxa"/>
            <w:tcBorders/>
          </w:tcPr>
          <w:p>
            <w:pPr>
              <w:pStyle w:val="Normal"/>
              <w:jc w:val="both"/>
              <w:rPr>
                <w:sz w:val="18"/>
              </w:rPr>
            </w:pPr>
            <w:r>
              <w:rPr>
                <w:sz w:val="18"/>
              </w:rPr>
              <w:t>Mark Haedicke</w:t>
            </w:r>
          </w:p>
          <w:p>
            <w:pPr>
              <w:pStyle w:val="Normal"/>
              <w:jc w:val="both"/>
              <w:rPr>
                <w:sz w:val="18"/>
              </w:rPr>
            </w:pPr>
            <w:r>
              <w:rPr>
                <w:sz w:val="18"/>
              </w:rPr>
              <w:t>Sheila Tweed</w:t>
            </w:r>
          </w:p>
          <w:p>
            <w:pPr>
              <w:pStyle w:val="Normal"/>
              <w:jc w:val="both"/>
              <w:rPr>
                <w:sz w:val="18"/>
              </w:rPr>
            </w:pPr>
            <w:r>
              <w:rPr>
                <w:sz w:val="18"/>
              </w:rPr>
              <w:t xml:space="preserve">cc:  </w:t>
            </w:r>
          </w:p>
          <w:p>
            <w:pPr>
              <w:pStyle w:val="Normal"/>
              <w:jc w:val="both"/>
              <w:rPr>
                <w:sz w:val="18"/>
              </w:rPr>
            </w:pPr>
            <w:r>
              <w:rPr>
                <w:sz w:val="18"/>
              </w:rPr>
              <w:t>Chris Calger, Dave Parquet, Jim Gilbert</w:t>
            </w:r>
          </w:p>
        </w:tc>
        <w:tc>
          <w:tcPr>
            <w:tcW w:w="2070" w:type="dxa"/>
            <w:tcBorders/>
          </w:tcPr>
          <w:p>
            <w:pPr>
              <w:pStyle w:val="Normal"/>
              <w:spacing w:before="0" w:after="120"/>
              <w:jc w:val="both"/>
              <w:rPr>
                <w:sz w:val="18"/>
              </w:rPr>
            </w:pPr>
            <w:r>
              <w:rPr>
                <w:b/>
                <w:sz w:val="18"/>
              </w:rPr>
              <w:t>DATE:</w:t>
            </w:r>
          </w:p>
        </w:tc>
        <w:tc>
          <w:tcPr>
            <w:tcW w:w="2340" w:type="dxa"/>
            <w:gridSpan w:val="2"/>
            <w:tcBorders/>
          </w:tcPr>
          <w:p>
            <w:pPr>
              <w:pStyle w:val="Normal"/>
              <w:spacing w:before="0" w:after="120"/>
              <w:jc w:val="both"/>
              <w:rPr>
                <w:sz w:val="18"/>
              </w:rPr>
            </w:pPr>
            <w:r>
              <w:rPr>
                <w:sz w:val="18"/>
              </w:rPr>
              <w:t>April 16, 2001</w:t>
            </w:r>
          </w:p>
        </w:tc>
      </w:tr>
      <w:tr>
        <w:trPr/>
        <w:tc>
          <w:tcPr>
            <w:tcW w:w="1908" w:type="dxa"/>
            <w:tcBorders/>
          </w:tcPr>
          <w:p>
            <w:pPr>
              <w:pStyle w:val="Normal"/>
              <w:spacing w:before="120" w:after="240"/>
              <w:jc w:val="both"/>
              <w:rPr>
                <w:sz w:val="18"/>
              </w:rPr>
            </w:pPr>
            <w:r>
              <w:rPr>
                <w:b/>
                <w:sz w:val="18"/>
              </w:rPr>
              <w:t>FROM:</w:t>
            </w:r>
          </w:p>
        </w:tc>
        <w:tc>
          <w:tcPr>
            <w:tcW w:w="2430" w:type="dxa"/>
            <w:tcBorders/>
          </w:tcPr>
          <w:p>
            <w:pPr>
              <w:pStyle w:val="Normal"/>
              <w:spacing w:before="120" w:after="240"/>
              <w:jc w:val="both"/>
              <w:rPr>
                <w:sz w:val="18"/>
              </w:rPr>
            </w:pPr>
            <w:r>
              <w:rPr>
                <w:sz w:val="18"/>
              </w:rPr>
              <w:t>Dale Rasmussen</w:t>
            </w:r>
          </w:p>
        </w:tc>
        <w:tc>
          <w:tcPr>
            <w:tcW w:w="2070" w:type="dxa"/>
            <w:tcBorders/>
          </w:tcPr>
          <w:p>
            <w:pPr>
              <w:pStyle w:val="Normal"/>
              <w:spacing w:before="120" w:after="240"/>
              <w:jc w:val="both"/>
              <w:rPr>
                <w:b/>
                <w:sz w:val="18"/>
              </w:rPr>
            </w:pPr>
            <w:r>
              <w:rPr>
                <w:b/>
                <w:sz w:val="18"/>
              </w:rPr>
              <w:t>DEPARTMENT:</w:t>
            </w:r>
          </w:p>
        </w:tc>
        <w:tc>
          <w:tcPr>
            <w:tcW w:w="2340" w:type="dxa"/>
            <w:gridSpan w:val="2"/>
            <w:tcBorders/>
          </w:tcPr>
          <w:p>
            <w:pPr>
              <w:pStyle w:val="Normal"/>
              <w:spacing w:before="120" w:after="240"/>
              <w:jc w:val="both"/>
              <w:rPr>
                <w:sz w:val="18"/>
              </w:rPr>
            </w:pPr>
            <w:r>
              <w:rPr>
                <w:sz w:val="18"/>
              </w:rPr>
              <w:t>Legal Department</w:t>
            </w:r>
          </w:p>
        </w:tc>
      </w:tr>
      <w:tr>
        <w:trPr/>
        <w:tc>
          <w:tcPr>
            <w:tcW w:w="1908" w:type="dxa"/>
            <w:tcBorders/>
          </w:tcPr>
          <w:p>
            <w:pPr>
              <w:pStyle w:val="Normal"/>
              <w:spacing w:before="0" w:after="120"/>
              <w:jc w:val="both"/>
              <w:rPr>
                <w:sz w:val="18"/>
              </w:rPr>
            </w:pPr>
            <w:r>
              <w:rPr>
                <w:b/>
                <w:sz w:val="18"/>
              </w:rPr>
              <w:t>SUBJECT:</w:t>
            </w:r>
          </w:p>
        </w:tc>
        <w:tc>
          <w:tcPr>
            <w:tcW w:w="6390" w:type="dxa"/>
            <w:gridSpan w:val="3"/>
            <w:tcBorders/>
          </w:tcPr>
          <w:p>
            <w:pPr>
              <w:pStyle w:val="Normal"/>
              <w:rPr>
                <w:sz w:val="18"/>
              </w:rPr>
            </w:pPr>
            <w:r>
              <w:rPr>
                <w:sz w:val="18"/>
              </w:rPr>
              <w:t>Legal Risk Memo – Project Priscilla</w:t>
            </w:r>
          </w:p>
        </w:tc>
        <w:tc>
          <w:tcPr>
            <w:tcW w:w="450" w:type="dxa"/>
            <w:tcBorders/>
            <w:tcMar>
              <w:start w:w="0" w:type="dxa"/>
              <w:end w:w="0" w:type="dxa"/>
            </w:tcMar>
          </w:tcPr>
          <w:p>
            <w:pPr>
              <w:pStyle w:val="Normal"/>
              <w:snapToGrid w:val="false"/>
              <w:rPr>
                <w:sz w:val="18"/>
              </w:rPr>
            </w:pPr>
            <w:r>
              <w:rPr>
                <w:sz w:val="18"/>
              </w:rPr>
            </w:r>
          </w:p>
        </w:tc>
      </w:tr>
    </w:tbl>
    <w:p>
      <w:pPr>
        <w:pStyle w:val="Normal"/>
        <w:pBdr>
          <w:bottom w:val="double" w:sz="12" w:space="1" w:color="000000"/>
        </w:pBdr>
        <w:rPr>
          <w:sz w:val="18"/>
        </w:rPr>
      </w:pPr>
      <w:r>
        <w:rPr>
          <w:sz w:val="18"/>
        </w:rPr>
      </w:r>
    </w:p>
    <w:p>
      <w:pPr>
        <w:pStyle w:val="Normal"/>
        <w:rPr>
          <w:sz w:val="18"/>
        </w:rPr>
      </w:pPr>
      <w:r>
        <w:rPr>
          <w:sz w:val="18"/>
        </w:rPr>
      </w:r>
    </w:p>
    <w:p>
      <w:pPr>
        <w:pStyle w:val="Normal"/>
        <w:ind w:hanging="2700" w:start="2700" w:end="-720"/>
        <w:jc w:val="both"/>
        <w:rPr>
          <w:sz w:val="18"/>
        </w:rPr>
      </w:pPr>
      <w:r>
        <w:rPr>
          <w:sz w:val="18"/>
        </w:rPr>
        <w:t>Title of Transaction/Agreement:</w:t>
        <w:tab/>
        <w:t>Project Priscilla</w:t>
        <w:tab/>
        <w:tab/>
        <w:tab/>
      </w:r>
    </w:p>
    <w:p>
      <w:pPr>
        <w:pStyle w:val="Normal"/>
        <w:ind w:hanging="2700" w:start="2700" w:end="-720"/>
        <w:jc w:val="both"/>
        <w:rPr>
          <w:sz w:val="18"/>
        </w:rPr>
      </w:pPr>
      <w:r>
        <w:rPr>
          <w:sz w:val="18"/>
        </w:rPr>
      </w:r>
    </w:p>
    <w:p>
      <w:pPr>
        <w:pStyle w:val="Normal"/>
        <w:ind w:hanging="2700" w:start="2700" w:end="-720"/>
        <w:jc w:val="both"/>
        <w:rPr>
          <w:sz w:val="18"/>
        </w:rPr>
      </w:pPr>
      <w:r>
        <w:rPr>
          <w:sz w:val="18"/>
        </w:rPr>
        <w:t>Enron Entity:</w:t>
        <w:tab/>
        <w:t>Las Vegas Cogeneration II, L.L.C.  (“LVC II”) (indirectly owned by ENA)</w:t>
      </w:r>
    </w:p>
    <w:p>
      <w:pPr>
        <w:pStyle w:val="Normal"/>
        <w:ind w:hanging="2700" w:start="2700" w:end="-720"/>
        <w:jc w:val="both"/>
        <w:rPr>
          <w:sz w:val="18"/>
        </w:rPr>
      </w:pPr>
      <w:r>
        <w:rPr>
          <w:sz w:val="18"/>
        </w:rPr>
      </w:r>
    </w:p>
    <w:p>
      <w:pPr>
        <w:pStyle w:val="Normal"/>
        <w:ind w:hanging="2700" w:start="2700" w:end="-720"/>
        <w:jc w:val="both"/>
        <w:rPr/>
      </w:pPr>
      <w:r>
        <w:rPr>
          <w:sz w:val="18"/>
        </w:rPr>
        <w:t>Nature of Transaction:</w:t>
        <w:tab/>
        <w:t>Development of approx. 222 MW generation facility incorporating 4 GE LM6000 combustion gas turbines adjacent to and on property leased from existing Las Vegas Cogeneration Limited Partnership (“LVCLP”) facility.  Certain portions of the two facilities (control room, etc.) will support both LVC II and LVCLP and will be owned by LVCLP.  Development bridge financing (approx. $50MM) from ENA/JEDI through approx. July, 2001; permanent financing to be obtained thereafter, including refinancing of existing LVCLP credit facility.  Not eligible for TurboPark.  Output of new facility to be sold to 3</w:t>
      </w:r>
      <w:r>
        <w:rPr>
          <w:sz w:val="18"/>
          <w:vertAlign w:val="superscript"/>
        </w:rPr>
        <w:t>rd</w:t>
      </w:r>
      <w:r>
        <w:rPr>
          <w:sz w:val="18"/>
        </w:rPr>
        <w:t xml:space="preserve"> party through 15-year tolling arrangement.  Entire facility to be sold prior to on-line date of Sept. 1, 2002.  </w:t>
      </w:r>
    </w:p>
    <w:p>
      <w:pPr>
        <w:pStyle w:val="Normal"/>
        <w:ind w:hanging="2700" w:start="2700" w:end="-720"/>
        <w:jc w:val="both"/>
        <w:rPr>
          <w:sz w:val="18"/>
        </w:rPr>
      </w:pPr>
      <w:r>
        <w:rPr>
          <w:sz w:val="18"/>
        </w:rPr>
        <w:t xml:space="preserve"> </w:t>
      </w:r>
    </w:p>
    <w:p>
      <w:pPr>
        <w:pStyle w:val="Normal"/>
        <w:ind w:start="2700" w:end="-720"/>
        <w:jc w:val="both"/>
        <w:rPr>
          <w:sz w:val="18"/>
        </w:rPr>
      </w:pPr>
      <w:r>
        <w:rPr>
          <w:sz w:val="18"/>
        </w:rPr>
        <w:t xml:space="preserve">LVCLP will operate combined facilities pursuant to O&amp;M Agreement. </w:t>
      </w:r>
    </w:p>
    <w:p>
      <w:pPr>
        <w:pStyle w:val="Normal"/>
        <w:ind w:hanging="2700" w:start="2700" w:end="-720"/>
        <w:jc w:val="both"/>
        <w:rPr>
          <w:sz w:val="18"/>
        </w:rPr>
      </w:pPr>
      <w:r>
        <w:rPr>
          <w:sz w:val="18"/>
        </w:rPr>
      </w:r>
    </w:p>
    <w:p>
      <w:pPr>
        <w:pStyle w:val="Normal"/>
        <w:keepNext w:val="true"/>
        <w:ind w:hanging="2700" w:start="2700" w:end="-720"/>
        <w:jc w:val="both"/>
        <w:rPr>
          <w:sz w:val="18"/>
        </w:rPr>
      </w:pPr>
      <w:r>
        <w:rPr>
          <w:sz w:val="18"/>
        </w:rPr>
        <w:t>Legal Risks:</w:t>
        <w:tab/>
      </w:r>
      <w:r>
        <w:rPr>
          <w:b/>
          <w:color w:val="000000"/>
          <w:sz w:val="18"/>
        </w:rPr>
        <w:t>Legal Risk Rating = 2</w:t>
      </w:r>
      <w:r>
        <w:rPr>
          <w:color w:val="000000"/>
          <w:sz w:val="18"/>
        </w:rPr>
        <w:t xml:space="preserve"> (1 being low risk, and 5 being high risk)</w:t>
      </w:r>
    </w:p>
    <w:p>
      <w:pPr>
        <w:pStyle w:val="Normal"/>
        <w:keepNext w:val="true"/>
        <w:ind w:hanging="2700" w:start="2700" w:end="-720"/>
        <w:jc w:val="both"/>
        <w:rPr>
          <w:sz w:val="18"/>
        </w:rPr>
      </w:pPr>
      <w:r>
        <w:rPr>
          <w:sz w:val="18"/>
        </w:rPr>
        <w:t xml:space="preserve"> </w:t>
      </w:r>
    </w:p>
    <w:p>
      <w:pPr>
        <w:pStyle w:val="Normal"/>
        <w:ind w:hanging="2700" w:start="2700" w:end="-720"/>
        <w:jc w:val="both"/>
        <w:rPr>
          <w:sz w:val="18"/>
        </w:rPr>
      </w:pPr>
      <w:r>
        <w:rPr>
          <w:sz w:val="18"/>
        </w:rPr>
        <w:t>1.  Toll Exposure</w:t>
        <w:tab/>
        <w:t>Document under negotiation.  Potential exposure from long-term toll position mitigated by not providing market cover damages.  Damages limited to adjustment of capacity payments for succeeding year, based on annual performance tests.  Counterparty would have right to terminate if availability &lt; fixed% for calendar year.  Delay in bringing on-line results in $40,000/day liquidated damages; capped at 75 days ($3MM) total.  In addition, Capacity Payments not paid until achieve commercial operation.  Delay LD’s similar, but not identical to corresponding LD’s under EPC contract (damages begin at $15,000/day and escalate to $40,000/day).  Unable to negotiate perfectly-matched damages with toll counterparty, but $40,000/day is significantly less than forecast market damages would be.  If delay is “Owner-caused delay” under EPC contract (including delays due to failure of gas transportation pipeline or interconnection facilities to be built by Southwest Gas or Nevada Power Company, respectively), LVC II would be exposed for full value of $40,000 LD’s.  Gas and electricity transmission companies refuse to provide delay LD’s.  Attempting to mitigate exposure by having step-in rights for completion of transport/transmission facilities, but utilities have resisted.  Negotiations are ongoing.</w:t>
      </w:r>
    </w:p>
    <w:p>
      <w:pPr>
        <w:pStyle w:val="Normal"/>
        <w:ind w:hanging="2700" w:start="2700" w:end="-720"/>
        <w:jc w:val="both"/>
        <w:rPr>
          <w:sz w:val="18"/>
        </w:rPr>
      </w:pPr>
      <w:r>
        <w:rPr>
          <w:sz w:val="18"/>
        </w:rPr>
      </w:r>
    </w:p>
    <w:p>
      <w:pPr>
        <w:pStyle w:val="Normal"/>
        <w:ind w:hanging="2700" w:start="2700" w:end="-720"/>
        <w:jc w:val="both"/>
        <w:rPr>
          <w:sz w:val="18"/>
        </w:rPr>
      </w:pPr>
      <w:r>
        <w:rPr>
          <w:sz w:val="18"/>
        </w:rPr>
        <w:t>2.  EPC Contract Risks</w:t>
        <w:tab/>
        <w:t>EPC contract has been signed; proceeding under Preliminary Notice to Proceed.  LVC 2 can cancel EPC contract for convenience, subject to reimbursing contractor for costs incurred, plus subcontractor termination costs (total prior to 4/30/01 is $1,000,000).  Cancellation cost increases to approx. $15,000,000 by end of May.</w:t>
      </w:r>
    </w:p>
    <w:p>
      <w:pPr>
        <w:pStyle w:val="Normal"/>
        <w:ind w:hanging="2700" w:start="2700" w:end="-720"/>
        <w:jc w:val="both"/>
        <w:rPr>
          <w:sz w:val="18"/>
        </w:rPr>
      </w:pPr>
      <w:r>
        <w:rPr>
          <w:sz w:val="18"/>
        </w:rPr>
      </w:r>
    </w:p>
    <w:p>
      <w:pPr>
        <w:pStyle w:val="Normal"/>
        <w:ind w:hanging="2700" w:start="2700" w:end="-720"/>
        <w:jc w:val="both"/>
        <w:rPr>
          <w:sz w:val="18"/>
        </w:rPr>
      </w:pPr>
      <w:r>
        <w:rPr>
          <w:sz w:val="18"/>
        </w:rPr>
        <w:t>3.  Lender Approval Risks</w:t>
        <w:tab/>
        <w:t>Approval by existing LVCLP lenders will be required for ground lease and O&amp;M Agreement between LVC 2 and LVCLP.  Necessary consents will be obtained.  Possibility of moving LVCLP into Condor structure, and thus taking out LVCLP lenders.  If Lender approval is not obtained or refinancing is not put in place by end of April, cancellation exposure increases substantially.</w:t>
      </w:r>
    </w:p>
    <w:p>
      <w:pPr>
        <w:pStyle w:val="Normal"/>
        <w:ind w:hanging="2700" w:start="2700" w:end="-720"/>
        <w:jc w:val="both"/>
        <w:rPr>
          <w:sz w:val="18"/>
        </w:rPr>
      </w:pPr>
      <w:r>
        <w:rPr>
          <w:sz w:val="18"/>
        </w:rPr>
      </w:r>
    </w:p>
    <w:p>
      <w:pPr>
        <w:pStyle w:val="Normal"/>
        <w:ind w:hanging="2700" w:start="2700" w:end="-720"/>
        <w:jc w:val="both"/>
        <w:rPr>
          <w:sz w:val="18"/>
        </w:rPr>
      </w:pPr>
      <w:r>
        <w:rPr>
          <w:sz w:val="18"/>
        </w:rPr>
        <w:t>4.  Equity Structure Risks</w:t>
        <w:tab/>
        <w:t xml:space="preserve">LVC II is owned by Southwest Power, which in turn is owned by ENA (through TLS Investors, LLC), by JEDI II and by RADR EMP, LLC (a “friend of Enron” structured entity).  Development costs will be funded through a bridge loan; however, net revenues from sale will be distributed to respective owners of Southwest Power unless an alternative distribution arrangement is made.   RADR equity can be called at any time.  Can remove RADR without violating QF ownership restrictions under current ENE SEC exemption filing.  Robert Eickenroht has further information on this filing and its effect on QF ownership.   </w:t>
      </w:r>
    </w:p>
    <w:p>
      <w:pPr>
        <w:pStyle w:val="Normal"/>
        <w:ind w:hanging="2700" w:start="2700" w:end="-720"/>
        <w:jc w:val="both"/>
        <w:rPr>
          <w:sz w:val="18"/>
        </w:rPr>
      </w:pPr>
      <w:r>
        <w:rPr>
          <w:sz w:val="18"/>
        </w:rPr>
      </w:r>
    </w:p>
    <w:p>
      <w:pPr>
        <w:pStyle w:val="Normal"/>
        <w:ind w:hanging="2700" w:start="2700" w:end="-720"/>
        <w:jc w:val="both"/>
        <w:rPr>
          <w:sz w:val="18"/>
        </w:rPr>
      </w:pPr>
      <w:r>
        <w:rPr>
          <w:sz w:val="18"/>
        </w:rPr>
        <w:t>5.  Financing Risks</w:t>
        <w:tab/>
        <w:t>Permanent financing not obtained.  Major agreements contain “assignment for financing” clauses, but lenders may require changes to documents.</w:t>
      </w:r>
    </w:p>
    <w:p>
      <w:pPr>
        <w:pStyle w:val="Normal"/>
        <w:ind w:hanging="2700" w:start="2700" w:end="-720"/>
        <w:jc w:val="both"/>
        <w:rPr>
          <w:sz w:val="18"/>
        </w:rPr>
      </w:pPr>
      <w:r>
        <w:rPr>
          <w:sz w:val="18"/>
        </w:rPr>
      </w:r>
    </w:p>
    <w:p>
      <w:pPr>
        <w:pStyle w:val="Normal"/>
        <w:ind w:hanging="2700" w:start="2700" w:end="-720"/>
        <w:jc w:val="both"/>
        <w:rPr>
          <w:sz w:val="18"/>
        </w:rPr>
      </w:pPr>
      <w:r>
        <w:rPr>
          <w:sz w:val="18"/>
        </w:rPr>
        <w:t>6.  Development Risks</w:t>
        <w:tab/>
        <w:t xml:space="preserve">See DASH.  Currently resolving outstanding question as to Acid Rain Permit (required for operation, but not for construction; County authority is new to role of issuing permit under EPA regulations).  </w:t>
      </w:r>
    </w:p>
    <w:p>
      <w:pPr>
        <w:pStyle w:val="Normal"/>
        <w:ind w:hanging="2700" w:start="2700" w:end="-720"/>
        <w:jc w:val="both"/>
        <w:rPr>
          <w:sz w:val="18"/>
        </w:rPr>
      </w:pPr>
      <w:r>
        <w:rPr>
          <w:sz w:val="18"/>
        </w:rPr>
      </w:r>
    </w:p>
    <w:p>
      <w:pPr>
        <w:pStyle w:val="Normal"/>
        <w:ind w:start="2700" w:end="-720"/>
        <w:jc w:val="both"/>
        <w:rPr>
          <w:sz w:val="18"/>
        </w:rPr>
      </w:pPr>
      <w:r>
        <w:rPr>
          <w:sz w:val="18"/>
        </w:rPr>
        <w:t>Seeking resolution with City of North Las Vegas as to easement for flood channel access road required by City under Site Use Permit.  Requested alignment would impinge on existing switchyard.  LVC 2 is proposing alternate route with “cap” over flood channel.  Will need to resolve prior to issuance of building permit.  City has agreed in concept; taking to design board for approval 5/8.</w:t>
      </w:r>
    </w:p>
    <w:p>
      <w:pPr>
        <w:pStyle w:val="Normal"/>
        <w:ind w:start="2700" w:end="-720"/>
        <w:jc w:val="both"/>
        <w:rPr>
          <w:sz w:val="18"/>
        </w:rPr>
      </w:pPr>
      <w:r>
        <w:rPr>
          <w:sz w:val="18"/>
        </w:rPr>
      </w:r>
    </w:p>
    <w:p>
      <w:pPr>
        <w:pStyle w:val="Normal"/>
        <w:ind w:start="2700" w:end="-720"/>
        <w:jc w:val="both"/>
        <w:rPr>
          <w:sz w:val="18"/>
        </w:rPr>
      </w:pPr>
      <w:r>
        <w:rPr>
          <w:sz w:val="18"/>
        </w:rPr>
        <w:t xml:space="preserve">City of North Las Vegas is effectively the sole source for water to the facility.  The City’s service commitment is via a “will serve” letter, rather than by a firm service contract.  The City will not enter into a more formal service contract at this time.  We have asked our local counsel, McDonald Carrano, to provide an opinion regarding the enforceability of the “will serve” letter.  This opinion will be qualified, but initial research confirms that this is the standard practice for municipal water agencies in Nevada.  We are further confirming the refundability of connection fees (approx. $2 million) payable prior to commencement of construction. </w:t>
      </w:r>
    </w:p>
    <w:p>
      <w:pPr>
        <w:pStyle w:val="Normal"/>
        <w:ind w:start="2700" w:end="-720"/>
        <w:jc w:val="both"/>
        <w:rPr>
          <w:sz w:val="18"/>
        </w:rPr>
      </w:pPr>
      <w:r>
        <w:rPr>
          <w:sz w:val="18"/>
        </w:rPr>
      </w:r>
    </w:p>
    <w:p>
      <w:pPr>
        <w:pStyle w:val="Normal"/>
        <w:ind w:start="2700" w:end="-720"/>
        <w:jc w:val="both"/>
        <w:rPr>
          <w:sz w:val="18"/>
        </w:rPr>
      </w:pPr>
      <w:r>
        <w:rPr>
          <w:sz w:val="18"/>
        </w:rPr>
        <w:t>Nevada Power recently informed LVC 2 of potential delay in reconductoring transmission line south of plant.  This could limit ability to achieve 9/1/01 on-line date.  Evaluating other remedial action schemes that would allow for target on-line date, with line improvements scheduled later.</w:t>
      </w:r>
    </w:p>
    <w:p>
      <w:pPr>
        <w:pStyle w:val="Normal"/>
        <w:ind w:start="2700" w:end="-720"/>
        <w:jc w:val="both"/>
        <w:rPr>
          <w:sz w:val="18"/>
        </w:rPr>
      </w:pPr>
      <w:r>
        <w:rPr>
          <w:sz w:val="18"/>
        </w:rPr>
      </w:r>
    </w:p>
    <w:p>
      <w:pPr>
        <w:pStyle w:val="Normal"/>
        <w:ind w:start="2700" w:end="-720"/>
        <w:jc w:val="both"/>
        <w:rPr>
          <w:sz w:val="18"/>
        </w:rPr>
      </w:pPr>
      <w:r>
        <w:rPr>
          <w:sz w:val="18"/>
        </w:rPr>
        <w:t>If terminate construction prior to commercial operation, will be obligated to reimburse Southwest Gas for expenses incurred in installing bypass pipeline.  Similar obligation to Nevada Power for interconnection facility upgrades.</w:t>
      </w:r>
    </w:p>
    <w:p>
      <w:pPr>
        <w:pStyle w:val="Normal"/>
        <w:ind w:start="2700" w:end="-720"/>
        <w:jc w:val="both"/>
        <w:rPr>
          <w:sz w:val="18"/>
        </w:rPr>
      </w:pPr>
      <w:r>
        <w:rPr>
          <w:sz w:val="18"/>
        </w:rPr>
      </w:r>
    </w:p>
    <w:p>
      <w:pPr>
        <w:pStyle w:val="Normal"/>
        <w:ind w:start="2700" w:end="-720"/>
        <w:jc w:val="both"/>
        <w:rPr>
          <w:sz w:val="18"/>
        </w:rPr>
      </w:pPr>
      <w:r>
        <w:rPr>
          <w:sz w:val="18"/>
        </w:rPr>
        <w:t>Nevada Power/Southwest Gas contracts specify arbitration with neutral arbitrator(s) and Nevada law in Nevada.  Both parties initially required exclusive jurisdiction in Nevada courts.  Made every effort to use New York or other neutral law and non-Nevada sites for arbitration, but counterparties refuse to compromise on these points.  In light of other key concessions and getting agreement an AAA arbitration, this should not create undue exposure.</w:t>
      </w:r>
    </w:p>
    <w:sectPr>
      <w:headerReference w:type="default" r:id="rId3"/>
      <w:headerReference w:type="first" r:id="rId4"/>
      <w:footerReference w:type="default" r:id="rId5"/>
      <w:footerReference w:type="first" r:id="rId6"/>
      <w:type w:val="nextPage"/>
      <w:pgSz w:w="12240" w:h="15840"/>
      <w:pgMar w:left="1800" w:right="180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n:/common/legal/mcowan/memo/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/mnt/main-storage/datasets/enron-docs/doc/Priscilla.doc</w:t>
    </w:r>
    <w:r>
      <w:rPr>
        <w:sz w:val="12"/>
      </w:rPr>
      <w:fldChar w:fldCharType="end"/>
    </w:r>
  </w:p>
  <w:p>
    <w:pPr>
      <w:pStyle w:val="Footer"/>
      <w:rPr/>
    </w:pPr>
    <w:r>
      <w:rPr/>
      <w:t xml:space="preserve">Page </w:t>
    </w:r>
    <w:r>
      <w:rPr/>
      <w:fldChar w:fldCharType="begin"/>
    </w:r>
    <w:r>
      <w:rPr/>
      <w:instrText xml:space="preserve"> PAGE </w:instrText>
    </w:r>
    <w:r>
      <w:rPr/>
      <w:fldChar w:fldCharType="separate"/>
    </w:r>
    <w:r>
      <w:rPr/>
      <w:t>1</w:t>
    </w:r>
    <w:r>
      <w:rPr/>
      <w:fldChar w:fldCharType="end"/>
    </w:r>
    <w:r>
      <w:rPr/>
      <w:t xml:space="preserve"> of </w:t>
    </w:r>
    <w:r>
      <w:rPr/>
      <w:fldChar w:fldCharType="begin"/>
    </w:r>
    <w:r>
      <w:rPr/>
      <w:instrText xml:space="preserve"> NUMPAGES \* ARABIC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6192" w:end="0"/>
      <w:rPr>
        <w:b/>
        <w:sz w:val="36"/>
      </w:rPr>
    </w:pPr>
    <w:r>
      <w:rPr>
        <w:b/>
        <w:sz w:val="36"/>
      </w:rPr>
      <w:t>Interoffice</w:t>
    </w:r>
  </w:p>
  <w:p>
    <w:pPr>
      <w:pStyle w:val="Header"/>
      <w:ind w:start="6192" w:end="0"/>
      <w:rPr>
        <w:b/>
        <w:sz w:val="36"/>
      </w:rPr>
    </w:pPr>
    <w:r>
      <w:rPr>
        <w:b/>
        <w:sz w:val="36"/>
      </w:rPr>
      <w:t>Memorandum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2880" w:start="2880" w:end="0"/>
      <w:jc w:val="both"/>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2000-06-26T21:04:00Z</dcterms:created>
  <dc:creator>appinst</dc:creator>
  <dc:description/>
  <dc:language>en-CA</dc:language>
  <cp:lastModifiedBy>drasmus</cp:lastModifiedBy>
  <cp:lastPrinted>2001-04-16T09:31:00Z</cp:lastPrinted>
  <dcterms:modified xsi:type="dcterms:W3CDTF">2001-04-16T14:01:00Z</dcterms:modified>
  <cp:revision>13</cp:revision>
  <dc:subject/>
  <dc:title> </dc:title>
</cp:coreProperties>
</file>