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Principles for PX Credit Issues </w:t>
      </w:r>
    </w:p>
    <w:p>
      <w:pPr>
        <w:pStyle w:val="Normal"/>
        <w:jc w:val="center"/>
        <w:rPr/>
      </w:pPr>
      <w:r>
        <w:rPr/>
      </w:r>
    </w:p>
    <w:p>
      <w:pPr>
        <w:pStyle w:val="Subtitle"/>
        <w:rPr/>
      </w:pPr>
      <w:r>
        <w:rPr/>
        <w:t>Basis for Competitive Markets</w:t>
      </w:r>
    </w:p>
    <w:p>
      <w:pPr>
        <w:pStyle w:val="Subtitle"/>
        <w:rPr>
          <w:b w:val="false"/>
          <w:bCs w:val="false"/>
        </w:rPr>
      </w:pPr>
      <w:r>
        <w:rPr>
          <w:b w:val="false"/>
          <w:bCs w:val="false"/>
        </w:rPr>
      </w:r>
    </w:p>
    <w:p>
      <w:pPr>
        <w:pStyle w:val="BodyTextIndent"/>
        <w:numPr>
          <w:ilvl w:val="0"/>
          <w:numId w:val="2"/>
        </w:numPr>
        <w:rPr/>
      </w:pPr>
      <w:r>
        <w:rPr/>
        <w:t>Rates should be calculated using a “bottoms-up” approach with separate charges for T, D, power and other separable components. The components would be constructed to be “pure” – for example, distribution rates include only distribution costs. Bundled customers would pay all components.  Direct access customers would pay only transportation-related components.</w:t>
      </w:r>
    </w:p>
    <w:p>
      <w:pPr>
        <w:pStyle w:val="Normal"/>
        <w:ind w:hanging="720" w:start="720" w:end="0"/>
        <w:rPr/>
      </w:pPr>
      <w:r>
        <w:rPr/>
      </w:r>
    </w:p>
    <w:p>
      <w:pPr>
        <w:pStyle w:val="Normal"/>
        <w:numPr>
          <w:ilvl w:val="0"/>
          <w:numId w:val="2"/>
        </w:numPr>
        <w:rPr/>
      </w:pPr>
      <w:r>
        <w:rPr/>
        <w:t xml:space="preserve">No credits.  </w:t>
      </w:r>
    </w:p>
    <w:p>
      <w:pPr>
        <w:pStyle w:val="Normal"/>
        <w:rPr/>
      </w:pPr>
      <w:r>
        <w:rPr/>
      </w:r>
    </w:p>
    <w:p>
      <w:pPr>
        <w:pStyle w:val="Normal"/>
        <w:numPr>
          <w:ilvl w:val="0"/>
          <w:numId w:val="2"/>
        </w:numPr>
        <w:rPr/>
      </w:pPr>
      <w:r>
        <w:rPr/>
        <w:t xml:space="preserve">Enron should push for an immediate move to bottoms-up rates and separation of costs into pure rate components to be effective January 1, 2002. </w:t>
      </w:r>
      <w:r>
        <w:rPr>
          <w:color w:val="FF0000"/>
        </w:rPr>
        <w:t>(NOTE: I picked this date because it’s consistent with AB 1890 – we could easily pick an earlier date)</w:t>
      </w:r>
    </w:p>
    <w:p>
      <w:pPr>
        <w:pStyle w:val="Normal"/>
        <w:rPr/>
      </w:pPr>
      <w:r>
        <w:rPr/>
      </w:r>
    </w:p>
    <w:p>
      <w:pPr>
        <w:pStyle w:val="Normal"/>
        <w:numPr>
          <w:ilvl w:val="0"/>
          <w:numId w:val="2"/>
        </w:numPr>
        <w:rPr/>
      </w:pPr>
      <w:r>
        <w:rPr/>
        <w:t xml:space="preserve">The CPUC should adopt the principle that the utilities’ ability to collect their stranded costs was tied solely to the utilities’ agreement to comply with its restucturing orders and AB 1890. Therefore, the utilities are no longer able to claim stranded costs, except under extreme conditions when approved by the CPUC.  </w:t>
      </w:r>
    </w:p>
    <w:p>
      <w:pPr>
        <w:pStyle w:val="Normal"/>
        <w:rPr/>
      </w:pPr>
      <w:r>
        <w:rPr/>
      </w:r>
    </w:p>
    <w:p>
      <w:pPr>
        <w:pStyle w:val="Normal"/>
        <w:numPr>
          <w:ilvl w:val="0"/>
          <w:numId w:val="2"/>
        </w:numPr>
        <w:rPr/>
      </w:pPr>
      <w:r>
        <w:rPr/>
        <w:t xml:space="preserve">Any such collection of stranded costs in the future must be charged to those who have benefited.  For example, direct access customers should not pay for stranded costs from power purchases made for bundled service customers. </w:t>
      </w:r>
    </w:p>
    <w:p>
      <w:pPr>
        <w:pStyle w:val="Normal"/>
        <w:rPr/>
      </w:pPr>
      <w:r>
        <w:rPr/>
      </w:r>
    </w:p>
    <w:p>
      <w:pPr>
        <w:pStyle w:val="Normal"/>
        <w:numPr>
          <w:ilvl w:val="0"/>
          <w:numId w:val="2"/>
        </w:numPr>
        <w:rPr/>
      </w:pPr>
      <w:r>
        <w:rPr/>
        <w:t xml:space="preserve">Any such stranded costs must be approved and defined in advance before collection can begin. The party said to be incurring such costs is obligated to specify the type and size of the costs stranded, justify their prudence, justify why those costs should be collected from customers rather than be written off as a business risk, and take all actions possible to mitigate the size and extent of the costs.   The CPUC must determine the size of the stranded costs, each retail customer’s obligation to pay for those costs, if any, and the steps required to further mitigate the size of the costs. If stranded costs are approved, they should be collected from the customers benefiting in a fixed dollar/kWh charge.  </w:t>
      </w:r>
    </w:p>
    <w:p>
      <w:pPr>
        <w:pStyle w:val="Normal"/>
        <w:rPr/>
      </w:pPr>
      <w:r>
        <w:rPr/>
      </w:r>
    </w:p>
    <w:p>
      <w:pPr>
        <w:pStyle w:val="Normal"/>
        <w:rPr/>
      </w:pPr>
      <w:r>
        <w:rPr/>
      </w:r>
    </w:p>
    <w:p>
      <w:pPr>
        <w:pStyle w:val="Normal"/>
        <w:rPr/>
      </w:pPr>
      <w:r>
        <w:rPr/>
      </w:r>
    </w:p>
    <w:p>
      <w:pPr>
        <w:pStyle w:val="Heading1"/>
        <w:ind w:hanging="0" w:start="0"/>
        <w:rPr/>
      </w:pPr>
      <w:r>
        <w:rPr/>
        <w:t>Fair Transition</w:t>
      </w:r>
    </w:p>
    <w:p>
      <w:pPr>
        <w:pStyle w:val="Normal"/>
        <w:ind w:hanging="720" w:start="720" w:end="0"/>
        <w:rPr/>
      </w:pPr>
      <w:r>
        <w:rPr/>
      </w:r>
    </w:p>
    <w:p>
      <w:pPr>
        <w:pStyle w:val="Normal"/>
        <w:numPr>
          <w:ilvl w:val="0"/>
          <w:numId w:val="3"/>
        </w:numPr>
        <w:rPr/>
      </w:pPr>
      <w:r>
        <w:rPr/>
        <w:t>PG&amp;E and SCE must honor their contractual obligations to pay ESPs and customers the dollar amounts owed and continuing to accrue for PX/Power Procurement credits. These amounts could be offset against charges owed by the ESPs and customers going forward until the utilities’ outstanding balance is paid off.</w:t>
      </w:r>
    </w:p>
    <w:p>
      <w:pPr>
        <w:pStyle w:val="Normal"/>
        <w:rPr/>
      </w:pPr>
      <w:r>
        <w:rPr/>
      </w:r>
    </w:p>
    <w:p>
      <w:pPr>
        <w:pStyle w:val="Normal"/>
        <w:numPr>
          <w:ilvl w:val="0"/>
          <w:numId w:val="3"/>
        </w:numPr>
        <w:rPr/>
      </w:pPr>
      <w:r>
        <w:rPr/>
        <w:t>The CPUC’s proceeding on utility-retained generation must be completed as soon as possible and must have as its objective providing a fair market value for the utilities’ retained assets. This market value is to be used in completing the final assessment of CTC collection by PG&amp;E and SCE.</w:t>
      </w:r>
    </w:p>
    <w:p>
      <w:pPr>
        <w:pStyle w:val="Normal"/>
        <w:rPr/>
      </w:pPr>
      <w:r>
        <w:rPr/>
      </w:r>
    </w:p>
    <w:p>
      <w:pPr>
        <w:pStyle w:val="Normal"/>
        <w:numPr>
          <w:ilvl w:val="0"/>
          <w:numId w:val="3"/>
        </w:numPr>
        <w:rPr/>
      </w:pPr>
      <w:r>
        <w:rPr/>
        <w:t xml:space="preserve">The CPUC must, in accordance with Section 367 of AB 1890, complete its final assessment of stranded costs for PG&amp;E and SCE, order an end to the frozen rates, end collection of generation-related CTC and calculate any continuing CTC generation-related collection. The current frozen rates would be lifted on the same date that bottoms-up rates are made effective. At that time, no credits would be applicable.  </w:t>
      </w:r>
    </w:p>
    <w:p>
      <w:pPr>
        <w:pStyle w:val="Normal"/>
        <w:rPr/>
      </w:pPr>
      <w:r>
        <w:rPr/>
      </w:r>
    </w:p>
    <w:p>
      <w:pPr>
        <w:pStyle w:val="Normal"/>
        <w:numPr>
          <w:ilvl w:val="0"/>
          <w:numId w:val="3"/>
        </w:numPr>
        <w:rPr/>
      </w:pPr>
      <w:r>
        <w:rPr/>
        <w:t>Any refund of CTC collection should be returned as a lump sum to the ESP or retail customer, as applicable.</w:t>
      </w:r>
    </w:p>
    <w:p>
      <w:pPr>
        <w:pStyle w:val="Normal"/>
        <w:rPr/>
      </w:pPr>
      <w:r>
        <w:rPr/>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Subtitle">
    <w:name w:val="Subtitle"/>
    <w:basedOn w:val="Normal"/>
    <w:next w:val="BodyText"/>
    <w:qFormat/>
    <w:pPr/>
    <w:rPr>
      <w:b/>
      <w:bCs/>
      <w:u w:val="sing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2001-08-01T13:49:00Z</dcterms:created>
  <dc:creator>smara</dc:creator>
  <dc:description/>
  <dc:language>en-CA</dc:language>
  <cp:lastModifiedBy>smara</cp:lastModifiedBy>
  <dcterms:modified xsi:type="dcterms:W3CDTF">2001-08-01T15:50:00Z</dcterms:modified>
  <cp:revision>1</cp:revision>
  <dc:subject/>
  <dc:title>Principles for PX Credit Issues </dc:title>
</cp:coreProperties>
</file>