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Principle Terms of Development Agreement</w:t>
      </w:r>
    </w:p>
    <w:p>
      <w:pPr>
        <w:pStyle w:val="Normal"/>
        <w:rPr/>
      </w:pPr>
      <w:r>
        <w:rPr/>
      </w:r>
    </w:p>
    <w:p>
      <w:pPr>
        <w:pStyle w:val="Normal"/>
        <w:rPr>
          <w:b/>
          <w:sz w:val="24"/>
        </w:rPr>
      </w:pPr>
      <w:r>
        <w:rPr>
          <w:b/>
          <w:sz w:val="24"/>
        </w:rPr>
      </w:r>
    </w:p>
    <w:p>
      <w:pPr>
        <w:pStyle w:val="Normal"/>
        <w:rPr>
          <w:b/>
          <w:sz w:val="24"/>
        </w:rPr>
      </w:pPr>
      <w:r>
        <w:rPr>
          <w:b/>
          <w:sz w:val="24"/>
        </w:rPr>
        <w:t>Background</w:t>
      </w:r>
    </w:p>
    <w:p>
      <w:pPr>
        <w:pStyle w:val="Normal"/>
        <w:rPr>
          <w:b/>
          <w:sz w:val="24"/>
        </w:rPr>
      </w:pPr>
      <w:r>
        <w:rPr>
          <w:b/>
          <w:sz w:val="24"/>
        </w:rPr>
      </w:r>
    </w:p>
    <w:p>
      <w:pPr>
        <w:pStyle w:val="BodyText"/>
        <w:rPr/>
      </w:pPr>
      <w:r>
        <w:rPr/>
        <w:t>Enron will assist Aquila and Gogas in the development of an Egypt Jordan pipeline.  It is envisaged that a Development Agreement (the “Agreement”) would be entered into between the parties governing the relationship.</w:t>
      </w:r>
    </w:p>
    <w:p>
      <w:pPr>
        <w:pStyle w:val="Normal"/>
        <w:rPr>
          <w:sz w:val="24"/>
        </w:rPr>
      </w:pPr>
      <w:r>
        <w:rPr>
          <w:sz w:val="24"/>
        </w:rPr>
      </w:r>
    </w:p>
    <w:p>
      <w:pPr>
        <w:pStyle w:val="Heading1"/>
        <w:ind w:hanging="0" w:start="0"/>
        <w:rPr/>
      </w:pPr>
      <w:r>
        <w:rPr/>
        <w:t>Scope</w:t>
      </w:r>
    </w:p>
    <w:p>
      <w:pPr>
        <w:pStyle w:val="Normal"/>
        <w:rPr>
          <w:b/>
          <w:sz w:val="24"/>
        </w:rPr>
      </w:pPr>
      <w:r>
        <w:rPr>
          <w:b/>
          <w:sz w:val="24"/>
        </w:rPr>
      </w:r>
    </w:p>
    <w:p>
      <w:pPr>
        <w:pStyle w:val="Normal"/>
        <w:rPr>
          <w:sz w:val="24"/>
        </w:rPr>
      </w:pPr>
      <w:r>
        <w:rPr>
          <w:sz w:val="24"/>
        </w:rPr>
        <w:t>Enron will assist with the commercial structuring and contract negotiation for the project, will oversee the project financing, and will assist in selection of and negotiations with prospective equity investors.</w:t>
      </w:r>
    </w:p>
    <w:p>
      <w:pPr>
        <w:pStyle w:val="Normal"/>
        <w:rPr>
          <w:sz w:val="24"/>
        </w:rPr>
      </w:pPr>
      <w:r>
        <w:rPr>
          <w:sz w:val="24"/>
        </w:rPr>
      </w:r>
    </w:p>
    <w:p>
      <w:pPr>
        <w:pStyle w:val="BodyText"/>
        <w:rPr/>
      </w:pPr>
      <w:r>
        <w:rPr/>
        <w:t>Enron will not be required to make any investment in this pipeline and Enron’s services will be provided on an advisory basis.</w:t>
      </w:r>
    </w:p>
    <w:p>
      <w:pPr>
        <w:pStyle w:val="Normal"/>
        <w:rPr>
          <w:sz w:val="24"/>
        </w:rPr>
      </w:pPr>
      <w:r>
        <w:rPr>
          <w:sz w:val="24"/>
        </w:rPr>
      </w:r>
    </w:p>
    <w:p>
      <w:pPr>
        <w:pStyle w:val="Normal"/>
        <w:rPr>
          <w:b/>
          <w:sz w:val="24"/>
        </w:rPr>
      </w:pPr>
      <w:r>
        <w:rPr>
          <w:sz w:val="24"/>
        </w:rPr>
        <w:t>The parties recognize that it will be necessary to hire a legal, technical and, depending on the ultimate source of debt, a financial advisor.</w:t>
      </w:r>
    </w:p>
    <w:p>
      <w:pPr>
        <w:pStyle w:val="Normal"/>
        <w:rPr>
          <w:b/>
          <w:sz w:val="24"/>
        </w:rPr>
      </w:pPr>
      <w:r>
        <w:rPr>
          <w:b/>
          <w:sz w:val="24"/>
        </w:rPr>
      </w:r>
    </w:p>
    <w:p>
      <w:pPr>
        <w:pStyle w:val="Heading1"/>
        <w:ind w:hanging="0" w:start="0"/>
        <w:rPr/>
      </w:pPr>
      <w:r>
        <w:rPr/>
        <w:t>Coordination</w:t>
      </w:r>
    </w:p>
    <w:p>
      <w:pPr>
        <w:pStyle w:val="Normal"/>
        <w:rPr>
          <w:b/>
          <w:sz w:val="24"/>
        </w:rPr>
      </w:pPr>
      <w:r>
        <w:rPr>
          <w:b/>
          <w:sz w:val="24"/>
        </w:rPr>
      </w:r>
    </w:p>
    <w:p>
      <w:pPr>
        <w:pStyle w:val="BodyText"/>
        <w:rPr/>
      </w:pPr>
      <w:r>
        <w:rPr/>
        <w:t xml:space="preserve">Enron and Aquila/Gogas will establish a fast track project schedule listing key milestones and the individuals who will be required to support the development.  Key milestones will include principle agreements to be signed by mid year 2001 and financial close by year-end 2001. </w:t>
      </w:r>
    </w:p>
    <w:p>
      <w:pPr>
        <w:pStyle w:val="BodyText"/>
        <w:rPr>
          <w:b/>
        </w:rPr>
      </w:pPr>
      <w:r>
        <w:rPr>
          <w:b/>
        </w:rPr>
      </w:r>
    </w:p>
    <w:p>
      <w:pPr>
        <w:pStyle w:val="Normal"/>
        <w:rPr>
          <w:b/>
          <w:sz w:val="24"/>
        </w:rPr>
      </w:pPr>
      <w:r>
        <w:rPr>
          <w:b/>
          <w:sz w:val="24"/>
        </w:rPr>
        <w:t>Cost Sharing and Reimbursement</w:t>
      </w:r>
    </w:p>
    <w:p>
      <w:pPr>
        <w:pStyle w:val="Normal"/>
        <w:rPr>
          <w:b/>
          <w:sz w:val="24"/>
        </w:rPr>
      </w:pPr>
      <w:r>
        <w:rPr>
          <w:b/>
          <w:sz w:val="24"/>
        </w:rPr>
      </w:r>
    </w:p>
    <w:p>
      <w:pPr>
        <w:pStyle w:val="BodyText"/>
        <w:rPr/>
      </w:pPr>
      <w:r>
        <w:rPr/>
        <w:t>It is envisioned that the parties will be able to execute detailed commercial term sheets with both the seller and buyer of gas without expenditure of third party costs.</w:t>
      </w:r>
    </w:p>
    <w:p>
      <w:pPr>
        <w:pStyle w:val="BodyText"/>
        <w:rPr/>
      </w:pPr>
      <w:r>
        <w:rPr/>
      </w:r>
    </w:p>
    <w:p>
      <w:pPr>
        <w:pStyle w:val="BodyText"/>
        <w:rPr/>
      </w:pPr>
      <w:r>
        <w:rPr/>
        <w:t>At the point when third party advisors are needed the parties will endeavor to bring in a further equity partner who will be required to provide [$3-5MM] of third party development cost funding.   If this is not possible then the parties may each chose to either:</w:t>
      </w:r>
    </w:p>
    <w:p>
      <w:pPr>
        <w:pStyle w:val="BodyText"/>
        <w:rPr/>
      </w:pPr>
      <w:r>
        <w:rPr/>
      </w:r>
    </w:p>
    <w:p>
      <w:pPr>
        <w:pStyle w:val="BodyText"/>
        <w:numPr>
          <w:ilvl w:val="0"/>
          <w:numId w:val="2"/>
        </w:numPr>
        <w:rPr/>
      </w:pPr>
      <w:r>
        <w:rPr/>
        <w:t>withdraw from the project, or</w:t>
      </w:r>
    </w:p>
    <w:p>
      <w:pPr>
        <w:pStyle w:val="BodyText"/>
        <w:numPr>
          <w:ilvl w:val="0"/>
          <w:numId w:val="2"/>
        </w:numPr>
        <w:rPr/>
      </w:pPr>
      <w:r>
        <w:rPr/>
        <w:t>agree a mechanism for supplying such funding themselves</w:t>
      </w:r>
    </w:p>
    <w:p>
      <w:pPr>
        <w:pStyle w:val="BodyText"/>
        <w:rPr/>
      </w:pPr>
      <w:r>
        <w:rPr/>
      </w:r>
    </w:p>
    <w:p>
      <w:pPr>
        <w:pStyle w:val="BodyText"/>
        <w:rPr/>
      </w:pPr>
      <w:r>
        <w:rPr/>
        <w:t>Each party will be responsible for its own internal costs.</w:t>
      </w:r>
    </w:p>
    <w:p>
      <w:pPr>
        <w:pStyle w:val="BodyText"/>
        <w:rPr/>
      </w:pPr>
      <w:r>
        <w:rPr/>
      </w:r>
    </w:p>
    <w:p>
      <w:pPr>
        <w:pStyle w:val="BodyText"/>
        <w:rPr/>
      </w:pPr>
      <w:r>
        <w:rPr/>
        <w:t>A schedule of daily rates for each level of staff involved in the project for each of the parties will be included in the Agreement.  This daily rate will be reflective of the average fully loaded cost of each level of employee and will not contain a profit element.</w:t>
      </w:r>
    </w:p>
    <w:p>
      <w:pPr>
        <w:pStyle w:val="BodyText"/>
        <w:rPr/>
      </w:pPr>
      <w:r>
        <w:rPr/>
      </w:r>
    </w:p>
    <w:p>
      <w:pPr>
        <w:pStyle w:val="BodyText"/>
        <w:rPr/>
      </w:pPr>
      <w:r>
        <w:rPr/>
        <w:t>Each party will provide a schedule of internal time spent on the project at the end of each quarter.</w:t>
      </w:r>
    </w:p>
    <w:p>
      <w:pPr>
        <w:pStyle w:val="BodyText"/>
        <w:rPr/>
      </w:pPr>
      <w:r>
        <w:rPr/>
      </w:r>
    </w:p>
    <w:p>
      <w:pPr>
        <w:pStyle w:val="Heading2"/>
        <w:ind w:hanging="0" w:start="0"/>
        <w:rPr/>
      </w:pPr>
      <w:r>
        <w:rPr/>
        <w:t>It is the intent of the parties that at financial close each party will be refunded its internal costs from the proceeds of financial close.</w:t>
      </w:r>
    </w:p>
    <w:p>
      <w:pPr>
        <w:pStyle w:val="Normal"/>
        <w:rPr>
          <w:b/>
          <w:sz w:val="24"/>
        </w:rPr>
      </w:pPr>
      <w:r>
        <w:rPr>
          <w:b/>
          <w:sz w:val="24"/>
        </w:rPr>
      </w:r>
    </w:p>
    <w:p>
      <w:pPr>
        <w:pStyle w:val="Normal"/>
        <w:rPr>
          <w:b/>
          <w:sz w:val="24"/>
        </w:rPr>
      </w:pPr>
      <w:r>
        <w:rPr>
          <w:b/>
          <w:sz w:val="24"/>
        </w:rPr>
        <w:t>Success Fees</w:t>
      </w:r>
    </w:p>
    <w:p>
      <w:pPr>
        <w:pStyle w:val="Normal"/>
        <w:rPr>
          <w:b/>
          <w:sz w:val="24"/>
        </w:rPr>
      </w:pPr>
      <w:r>
        <w:rPr>
          <w:b/>
          <w:sz w:val="24"/>
        </w:rPr>
      </w:r>
    </w:p>
    <w:p>
      <w:pPr>
        <w:pStyle w:val="BodyText"/>
        <w:rPr>
          <w:b/>
        </w:rPr>
      </w:pPr>
      <w:r>
        <w:rPr/>
        <w:t>Aquila and Enron will receive a carried interest in the project of 10% in both Transco and Marco and Gogas will receive a 5% carried interest in both Transco and Marco.</w:t>
      </w:r>
    </w:p>
    <w:p>
      <w:pPr>
        <w:pStyle w:val="Normal"/>
        <w:rPr>
          <w:b/>
          <w:sz w:val="24"/>
        </w:rPr>
      </w:pPr>
      <w:r>
        <w:rPr>
          <w:b/>
          <w:sz w:val="24"/>
        </w:rPr>
      </w:r>
    </w:p>
    <w:p>
      <w:pPr>
        <w:pStyle w:val="Heading1"/>
        <w:ind w:hanging="0" w:start="0"/>
        <w:rPr/>
      </w:pPr>
      <w:r>
        <w:rPr/>
        <w:t>Decision Making</w:t>
      </w:r>
    </w:p>
    <w:p>
      <w:pPr>
        <w:pStyle w:val="Normal"/>
        <w:rPr>
          <w:b/>
          <w:sz w:val="24"/>
        </w:rPr>
      </w:pPr>
      <w:r>
        <w:rPr>
          <w:b/>
          <w:sz w:val="24"/>
        </w:rPr>
      </w:r>
    </w:p>
    <w:p>
      <w:pPr>
        <w:pStyle w:val="BodyText"/>
        <w:rPr/>
      </w:pPr>
      <w:r>
        <w:rPr/>
        <w:t>A decision-making structure will be included within the agreement requiring unanimous decision making for certain decisions.</w:t>
      </w:r>
    </w:p>
    <w:p>
      <w:pPr>
        <w:pStyle w:val="Normal"/>
        <w:rPr>
          <w:sz w:val="24"/>
        </w:rPr>
      </w:pPr>
      <w:r>
        <w:rPr>
          <w:sz w:val="24"/>
        </w:rPr>
      </w:r>
    </w:p>
    <w:p>
      <w:pPr>
        <w:pStyle w:val="BodyText"/>
        <w:rPr>
          <w:b/>
        </w:rPr>
      </w:pPr>
      <w:r>
        <w:rPr>
          <w:b/>
        </w:rPr>
        <w:t>Publicity</w:t>
      </w:r>
    </w:p>
    <w:p>
      <w:pPr>
        <w:pStyle w:val="BodyText"/>
        <w:rPr>
          <w:b/>
        </w:rPr>
      </w:pPr>
      <w:r>
        <w:rPr>
          <w:b/>
        </w:rPr>
      </w:r>
    </w:p>
    <w:p>
      <w:pPr>
        <w:pStyle w:val="BodyText"/>
        <w:rPr/>
      </w:pPr>
      <w:r>
        <w:rPr/>
        <w:t>Any press releases or other information provided to third parties about the project will require review and approval by all parties and will clearly identify Enron’s role as advisory in nature.</w:t>
      </w:r>
    </w:p>
    <w:p>
      <w:pPr>
        <w:pStyle w:val="Normal"/>
        <w:rPr>
          <w:sz w:val="24"/>
        </w:rPr>
      </w:pPr>
      <w:r>
        <w:rPr>
          <w:sz w:val="24"/>
        </w:rPr>
      </w:r>
    </w:p>
    <w:p>
      <w:pPr>
        <w:pStyle w:val="Heading1"/>
        <w:ind w:hanging="0" w:start="0"/>
        <w:rPr/>
      </w:pPr>
      <w:r>
        <w:rPr/>
        <w:t>Termination</w:t>
      </w:r>
    </w:p>
    <w:p>
      <w:pPr>
        <w:pStyle w:val="Normal"/>
        <w:rPr>
          <w:b/>
          <w:sz w:val="24"/>
        </w:rPr>
      </w:pPr>
      <w:r>
        <w:rPr>
          <w:b/>
          <w:sz w:val="24"/>
        </w:rPr>
      </w:r>
    </w:p>
    <w:p>
      <w:pPr>
        <w:pStyle w:val="BodyText"/>
        <w:rPr/>
      </w:pPr>
      <w:r>
        <w:rPr/>
        <w:t>The Agreement will be capable of termination on three months notice from either side as well as for material breach.</w:t>
      </w:r>
    </w:p>
    <w:p>
      <w:pPr>
        <w:pStyle w:val="BodyText"/>
        <w:rPr/>
      </w:pPr>
      <w:r>
        <w:rPr/>
      </w:r>
    </w:p>
    <w:p>
      <w:pPr>
        <w:pStyle w:val="BodyText"/>
        <w:rPr/>
      </w:pPr>
      <w:r>
        <w:rPr/>
        <w:t>If the Agreement is terminated for convenience by Aquila/Gogas then Enron’s success fee will still be payable and internal costs will be refunded to Enron if the project subsequently reaches financial close.</w:t>
      </w:r>
    </w:p>
    <w:p>
      <w:pPr>
        <w:pStyle w:val="BodyText"/>
        <w:rPr/>
      </w:pPr>
      <w:r>
        <w:rPr/>
      </w:r>
    </w:p>
    <w:p>
      <w:pPr>
        <w:pStyle w:val="BodyText"/>
        <w:rPr>
          <w:b/>
        </w:rPr>
      </w:pPr>
      <w:r>
        <w:rPr/>
        <w:t>If Enron terminates for convenience then it will forfeit its rights to any further payments or success fees other than those accrued prior to the termination.</w:t>
      </w:r>
    </w:p>
    <w:p>
      <w:pPr>
        <w:pStyle w:val="Normal"/>
        <w:rPr>
          <w:b/>
          <w:sz w:val="24"/>
        </w:rPr>
      </w:pPr>
      <w:r>
        <w:rPr>
          <w:b/>
          <w:sz w:val="24"/>
        </w:rPr>
      </w:r>
    </w:p>
    <w:p>
      <w:pPr>
        <w:pStyle w:val="Heading1"/>
        <w:ind w:hanging="0" w:start="0"/>
        <w:rPr/>
      </w:pPr>
      <w:r>
        <w:rPr/>
        <w:t>Foreign Corrupt Practices Act</w:t>
      </w:r>
    </w:p>
    <w:p>
      <w:pPr>
        <w:pStyle w:val="Normal"/>
        <w:rPr>
          <w:b/>
          <w:sz w:val="24"/>
        </w:rPr>
      </w:pPr>
      <w:r>
        <w:rPr>
          <w:b/>
          <w:sz w:val="24"/>
        </w:rPr>
      </w:r>
    </w:p>
    <w:p>
      <w:pPr>
        <w:pStyle w:val="BodyText"/>
        <w:rPr/>
      </w:pPr>
      <w:r>
        <w:rPr/>
        <w:t>The Agreement will include an FCPA provision acceptable to all parties.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420"/>
        </w:tabs>
        <w:ind w:start="42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Normal"/>
    <w:qFormat/>
    <w:pPr>
      <w:keepNext w:val="true"/>
      <w:numPr>
        <w:ilvl w:val="1"/>
        <w:numId w:val="1"/>
      </w:numPr>
      <w:outlineLvl w:val="1"/>
    </w:pPr>
    <w:rPr>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2001-01-10T14:40:00Z</dcterms:created>
  <dc:creator>gblack</dc:creator>
  <dc:description/>
  <dc:language>en-CA</dc:language>
  <cp:lastModifiedBy>gblack</cp:lastModifiedBy>
  <cp:lastPrinted>2001-01-16T11:36:00Z</cp:lastPrinted>
  <dcterms:modified xsi:type="dcterms:W3CDTF">2001-01-18T16:03:00Z</dcterms:modified>
  <cp:revision>6</cp:revision>
  <dc:subject/>
  <dc:title>Principle Terms of Development Agreement</dc:title>
</cp:coreProperties>
</file>