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s>
        <w:jc w:val="end"/>
        <w:rPr>
          <w:u w:val="single"/>
        </w:rPr>
      </w:pPr>
      <w:r>
        <w:rPr>
          <w:u w:val="single"/>
        </w:rPr>
        <w:t>Bidder A - December 7, 2000</w:t>
      </w:r>
    </w:p>
    <w:p>
      <w:pPr>
        <w:pStyle w:val="Normal"/>
        <w:tabs>
          <w:tab w:val="clear" w:pos="720"/>
          <w:tab w:val="left" w:pos="-1440" w:leader="none"/>
        </w:tabs>
        <w:jc w:val="center"/>
        <w:rPr>
          <w:u w:val="single"/>
        </w:rPr>
      </w:pPr>
      <w:r>
        <w:rPr>
          <w:u w:val="single"/>
        </w:rPr>
      </w:r>
    </w:p>
    <w:p>
      <w:pPr>
        <w:pStyle w:val="Normal"/>
        <w:tabs>
          <w:tab w:val="clear" w:pos="720"/>
          <w:tab w:val="left" w:pos="-1440" w:leader="none"/>
        </w:tabs>
        <w:jc w:val="center"/>
        <w:rPr>
          <w:u w:val="single"/>
        </w:rPr>
      </w:pPr>
      <w:r>
        <w:rPr>
          <w:u w:val="single"/>
        </w:rPr>
        <w:t>PSA OUTSTANDING MATTERS</w:t>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u w:val="single"/>
        </w:rPr>
      </w:pPr>
      <w:r>
        <w:rPr>
          <w:u w:val="single"/>
        </w:rPr>
        <w:t>Economic Terms</w:t>
      </w:r>
    </w:p>
    <w:p>
      <w:pPr>
        <w:pStyle w:val="Normal"/>
        <w:tabs>
          <w:tab w:val="clear" w:pos="720"/>
          <w:tab w:val="left" w:pos="-1440" w:leader="none"/>
        </w:tabs>
        <w:jc w:val="both"/>
        <w:rPr/>
      </w:pPr>
      <w:r>
        <w:rPr/>
      </w:r>
    </w:p>
    <w:p>
      <w:pPr>
        <w:pStyle w:val="Normal"/>
        <w:tabs>
          <w:tab w:val="clear" w:pos="720"/>
          <w:tab w:val="left" w:pos="-1440" w:leader="none"/>
        </w:tabs>
        <w:jc w:val="both"/>
        <w:rPr/>
      </w:pPr>
      <w:r>
        <w:rPr/>
        <w:t>1.</w:t>
        <w:tab/>
        <w:t>Purchase Price - $332,500,000</w:t>
      </w:r>
    </w:p>
    <w:p>
      <w:pPr>
        <w:pStyle w:val="Normal"/>
        <w:tabs>
          <w:tab w:val="clear" w:pos="720"/>
          <w:tab w:val="left" w:pos="-1440" w:leader="none"/>
        </w:tabs>
        <w:jc w:val="both"/>
        <w:rPr/>
      </w:pPr>
      <w:r>
        <w:rPr/>
      </w:r>
    </w:p>
    <w:p>
      <w:pPr>
        <w:pStyle w:val="Normal"/>
        <w:tabs>
          <w:tab w:val="clear" w:pos="720"/>
          <w:tab w:val="left" w:pos="-1440" w:leader="none"/>
        </w:tabs>
        <w:jc w:val="both"/>
        <w:rPr/>
      </w:pPr>
      <w:r>
        <w:rPr/>
        <w:t>2.</w:t>
        <w:tab/>
        <w:t>Ceiling Amount - $180,000,000 (30% of total enterprise value)</w:t>
      </w:r>
    </w:p>
    <w:p>
      <w:pPr>
        <w:pStyle w:val="Normal"/>
        <w:tabs>
          <w:tab w:val="clear" w:pos="720"/>
          <w:tab w:val="left" w:pos="-1440" w:leader="none"/>
        </w:tabs>
        <w:jc w:val="both"/>
        <w:rPr/>
      </w:pPr>
      <w:r>
        <w:rPr/>
      </w:r>
    </w:p>
    <w:p>
      <w:pPr>
        <w:pStyle w:val="Normal"/>
        <w:tabs>
          <w:tab w:val="clear" w:pos="720"/>
          <w:tab w:val="left" w:pos="-1440" w:leader="none"/>
        </w:tabs>
        <w:jc w:val="both"/>
        <w:rPr/>
      </w:pPr>
      <w:r>
        <w:rPr/>
        <w:t>3.</w:t>
        <w:tab/>
        <w:t>Deductible Amount - $15,000,000 (2.5% of total enterprise value)</w:t>
      </w:r>
    </w:p>
    <w:p>
      <w:pPr>
        <w:pStyle w:val="Normal"/>
        <w:tabs>
          <w:tab w:val="clear" w:pos="720"/>
          <w:tab w:val="left" w:pos="-1440" w:leader="none"/>
        </w:tabs>
        <w:jc w:val="both"/>
        <w:rPr/>
      </w:pPr>
      <w:r>
        <w:rPr/>
      </w:r>
    </w:p>
    <w:p>
      <w:pPr>
        <w:pStyle w:val="Normal"/>
        <w:tabs>
          <w:tab w:val="clear" w:pos="720"/>
          <w:tab w:val="left" w:pos="-1440" w:leader="none"/>
        </w:tabs>
        <w:jc w:val="both"/>
        <w:rPr>
          <w:u w:val="single"/>
        </w:rPr>
      </w:pPr>
      <w:r>
        <w:rPr>
          <w:u w:val="single"/>
        </w:rPr>
        <w:t>Closing Deliveries</w:t>
      </w:r>
    </w:p>
    <w:p>
      <w:pPr>
        <w:pStyle w:val="Normal"/>
        <w:tabs>
          <w:tab w:val="clear" w:pos="720"/>
          <w:tab w:val="left" w:pos="-1440" w:leader="none"/>
        </w:tabs>
        <w:jc w:val="both"/>
        <w:rPr/>
      </w:pPr>
      <w:r>
        <w:rPr/>
      </w:r>
    </w:p>
    <w:p>
      <w:pPr>
        <w:pStyle w:val="Normal"/>
        <w:tabs>
          <w:tab w:val="clear" w:pos="720"/>
          <w:tab w:val="left" w:pos="-1440" w:leader="none"/>
        </w:tabs>
        <w:jc w:val="both"/>
        <w:rPr/>
      </w:pPr>
      <w:r>
        <w:rPr/>
        <w:t>4.    Parties to Consents and Acknowledgments/Purchase Options (3.2j and k)</w:t>
      </w:r>
    </w:p>
    <w:p>
      <w:pPr>
        <w:pStyle w:val="Normal"/>
        <w:jc w:val="both"/>
        <w:rPr/>
      </w:pPr>
      <w:r>
        <w:rPr/>
      </w:r>
    </w:p>
    <w:p>
      <w:pPr>
        <w:pStyle w:val="Normal"/>
        <w:ind w:hanging="720" w:start="1440" w:end="0"/>
        <w:jc w:val="both"/>
        <w:rPr/>
      </w:pPr>
      <w:r>
        <w:rPr/>
        <w:t>a.</w:t>
        <w:tab/>
        <w:t>Buyer’s redraft lists all monetization parties; we understand Enron plans to amend all applicable agreements to substitute Leaseco for HPL and to release HPL and its assets from all related liability and obligations; nevertheless, such parties may still need to sign Consents/POA’s</w:t>
      </w:r>
    </w:p>
    <w:p>
      <w:pPr>
        <w:pStyle w:val="Normal"/>
        <w:ind w:hanging="720" w:start="1440" w:end="0"/>
        <w:jc w:val="both"/>
        <w:rPr/>
      </w:pPr>
      <w:r>
        <w:rPr/>
      </w:r>
    </w:p>
    <w:p>
      <w:pPr>
        <w:pStyle w:val="Normal"/>
        <w:ind w:hanging="720" w:start="720" w:end="0"/>
        <w:jc w:val="both"/>
        <w:rPr>
          <w:u w:val="single"/>
        </w:rPr>
      </w:pPr>
      <w:r>
        <w:rPr>
          <w:u w:val="single"/>
        </w:rPr>
        <w:t>Reps and Warranties</w:t>
      </w:r>
    </w:p>
    <w:p>
      <w:pPr>
        <w:pStyle w:val="Normal"/>
        <w:ind w:hanging="720" w:start="720" w:end="0"/>
        <w:jc w:val="both"/>
        <w:rPr/>
      </w:pPr>
      <w:r>
        <w:rPr/>
      </w:r>
    </w:p>
    <w:p>
      <w:pPr>
        <w:pStyle w:val="Normal"/>
        <w:ind w:hanging="720" w:start="720" w:end="0"/>
        <w:jc w:val="both"/>
        <w:rPr/>
      </w:pPr>
      <w:r>
        <w:rPr/>
        <w:t>6.</w:t>
        <w:tab/>
        <w:t>Rep that no options exist to acquire HPL/Newco stock (4.2d)</w:t>
      </w:r>
    </w:p>
    <w:p>
      <w:pPr>
        <w:pStyle w:val="Normal"/>
        <w:ind w:hanging="720" w:start="720" w:end="0"/>
        <w:jc w:val="both"/>
        <w:rPr/>
      </w:pPr>
      <w:r>
        <w:rPr/>
      </w:r>
    </w:p>
    <w:p>
      <w:pPr>
        <w:pStyle w:val="Normal"/>
        <w:ind w:hanging="720" w:start="1440" w:end="0"/>
        <w:jc w:val="both"/>
        <w:rPr/>
      </w:pPr>
      <w:r>
        <w:rPr/>
        <w:t>a.</w:t>
        <w:tab/>
        <w:t>need rep that there are no options, not merely a rep that only Enron and HPL have not granted an option</w:t>
      </w:r>
    </w:p>
    <w:p>
      <w:pPr>
        <w:pStyle w:val="Normal"/>
        <w:ind w:hanging="720" w:start="720" w:end="0"/>
        <w:jc w:val="both"/>
        <w:rPr/>
      </w:pPr>
      <w:r>
        <w:rPr/>
      </w:r>
    </w:p>
    <w:p>
      <w:pPr>
        <w:pStyle w:val="Normal"/>
        <w:jc w:val="both"/>
        <w:rPr/>
      </w:pPr>
      <w:r>
        <w:rPr/>
        <w:t>7.</w:t>
        <w:tab/>
        <w:t>Rep that Books and Records have been made available to Buyer (4.3)</w:t>
      </w:r>
    </w:p>
    <w:p>
      <w:pPr>
        <w:pStyle w:val="Normal"/>
        <w:jc w:val="both"/>
        <w:rPr/>
      </w:pPr>
      <w:r>
        <w:rPr/>
      </w:r>
    </w:p>
    <w:p>
      <w:pPr>
        <w:pStyle w:val="Normal"/>
        <w:ind w:hanging="720" w:start="720" w:end="0"/>
        <w:jc w:val="both"/>
        <w:rPr/>
      </w:pPr>
      <w:r>
        <w:rPr/>
        <w:t>8.</w:t>
        <w:tab/>
        <w:t>Rep that HPL has authority, consents, etc., necessary to enter Related Agreements (Sublease, etc.) (4.4, 4.5, 4.6)</w:t>
      </w:r>
    </w:p>
    <w:p>
      <w:pPr>
        <w:pStyle w:val="Normal"/>
        <w:ind w:hanging="720" w:start="1440" w:end="0"/>
        <w:jc w:val="both"/>
        <w:rPr/>
      </w:pPr>
      <w:r>
        <w:rPr/>
      </w:r>
    </w:p>
    <w:p>
      <w:pPr>
        <w:pStyle w:val="Normal"/>
        <w:ind w:hanging="720" w:start="1440" w:end="0"/>
        <w:jc w:val="both"/>
        <w:rPr/>
      </w:pPr>
      <w:r>
        <w:rPr/>
        <w:t>a.</w:t>
        <w:tab/>
        <w:t xml:space="preserve">since Enron owns and controls HPL and will form Newco, Enron is the party in a position to rep as to authority of HPL/Newco to enter Related Agreements, has all consents necessary to enter Related Agreements, etc. </w:t>
      </w:r>
    </w:p>
    <w:p>
      <w:pPr>
        <w:pStyle w:val="Normal"/>
        <w:ind w:hanging="720" w:start="1440" w:end="0"/>
        <w:jc w:val="both"/>
        <w:rPr/>
      </w:pPr>
      <w:r>
        <w:rPr/>
      </w:r>
    </w:p>
    <w:p>
      <w:pPr>
        <w:pStyle w:val="Normal"/>
        <w:ind w:hanging="720" w:start="720" w:end="0"/>
        <w:jc w:val="both"/>
        <w:rPr/>
      </w:pPr>
      <w:r>
        <w:rPr/>
        <w:t>9.</w:t>
        <w:tab/>
        <w:t>Numerous Knowledge qualifiers added to reps in Seller’s 10-31 draft (Article 4; Section 4.13)</w:t>
      </w:r>
    </w:p>
    <w:p>
      <w:pPr>
        <w:pStyle w:val="Normal"/>
        <w:jc w:val="both"/>
        <w:rPr/>
      </w:pPr>
      <w:r>
        <w:rPr/>
      </w:r>
    </w:p>
    <w:p>
      <w:pPr>
        <w:pStyle w:val="Normal"/>
        <w:ind w:hanging="720" w:start="1440" w:end="0"/>
        <w:jc w:val="both"/>
        <w:rPr/>
      </w:pPr>
      <w:r>
        <w:rPr/>
        <w:t>a.</w:t>
        <w:tab/>
        <w:t>Seller deleted knowledge qualifier from environmental rep in prior draft</w:t>
      </w:r>
    </w:p>
    <w:p>
      <w:pPr>
        <w:pStyle w:val="Normal"/>
        <w:ind w:hanging="720" w:start="1440" w:end="0"/>
        <w:jc w:val="both"/>
        <w:rPr/>
      </w:pPr>
      <w:r>
        <w:rPr/>
      </w:r>
    </w:p>
    <w:p>
      <w:pPr>
        <w:pStyle w:val="Normal"/>
        <w:ind w:hanging="720" w:start="1440" w:end="0"/>
        <w:jc w:val="both"/>
        <w:rPr/>
      </w:pPr>
      <w:r>
        <w:rPr/>
        <w:t>b.</w:t>
        <w:tab/>
        <w:t>delete knowledge qualifier in contracts rep (4.13b) insofar as it relates to enforceability; retain knowledge qualifier in 4.13 as it relates to third party breaches</w:t>
      </w:r>
    </w:p>
    <w:p>
      <w:pPr>
        <w:pStyle w:val="Normal"/>
        <w:ind w:hanging="720" w:start="1440" w:end="0"/>
        <w:jc w:val="both"/>
        <w:rPr/>
      </w:pPr>
      <w:r>
        <w:rPr/>
      </w:r>
    </w:p>
    <w:p>
      <w:pPr>
        <w:pStyle w:val="Normal"/>
        <w:ind w:hanging="720" w:start="1440" w:end="0"/>
        <w:jc w:val="both"/>
        <w:rPr/>
      </w:pPr>
      <w:r>
        <w:rPr/>
        <w:t>c.</w:t>
        <w:tab/>
        <w:t>retain other knowledge qualifiers in Article 4</w:t>
      </w:r>
    </w:p>
    <w:p>
      <w:pPr>
        <w:pStyle w:val="Normal"/>
        <w:ind w:hanging="720" w:start="1440" w:end="0"/>
        <w:jc w:val="both"/>
        <w:rPr/>
      </w:pPr>
      <w:r>
        <w:rPr/>
      </w:r>
    </w:p>
    <w:p>
      <w:pPr>
        <w:pStyle w:val="Normal"/>
        <w:keepNext w:val="true"/>
        <w:jc w:val="both"/>
        <w:rPr/>
      </w:pPr>
      <w:r>
        <w:rPr/>
        <w:t>10.</w:t>
        <w:tab/>
        <w:t>Rep that HPL has no liabilities except on schedule or balance sheet (4.7)</w:t>
      </w:r>
    </w:p>
    <w:p>
      <w:pPr>
        <w:pStyle w:val="Normal"/>
        <w:keepNext w:val="true"/>
        <w:jc w:val="both"/>
        <w:rPr/>
      </w:pPr>
      <w:r>
        <w:rPr/>
      </w:r>
    </w:p>
    <w:p>
      <w:pPr>
        <w:pStyle w:val="Normal"/>
        <w:ind w:hanging="720" w:start="1440" w:end="0"/>
        <w:jc w:val="both"/>
        <w:rPr/>
      </w:pPr>
      <w:r>
        <w:rPr/>
        <w:t>a.</w:t>
        <w:tab/>
        <w:t>Buyer is willing to permit a knowledge qualifier but, since we are acquiring stock, requires a rep as to liabilities that would be disclosed in footnotes to a balance sheet (not merely those required to be reflected on a balance sheet)</w:t>
      </w:r>
    </w:p>
    <w:p>
      <w:pPr>
        <w:pStyle w:val="Normal"/>
        <w:ind w:hanging="720" w:start="1440" w:end="0"/>
        <w:jc w:val="both"/>
        <w:rPr/>
      </w:pPr>
      <w:r>
        <w:rPr/>
      </w:r>
    </w:p>
    <w:p>
      <w:pPr>
        <w:pStyle w:val="Normal"/>
        <w:ind w:hanging="720" w:start="1440" w:end="0"/>
        <w:jc w:val="both"/>
        <w:rPr/>
      </w:pPr>
      <w:r>
        <w:rPr/>
        <w:t>b.</w:t>
        <w:tab/>
        <w:t>subpart (vi) exception for MAE is deleted as over-reaching; Seller gets materiality protection through GAAP and through subpart (ii) as it applies to ordinary course liabilities</w:t>
      </w:r>
    </w:p>
    <w:p>
      <w:pPr>
        <w:pStyle w:val="Normal"/>
        <w:jc w:val="both"/>
        <w:rPr/>
      </w:pPr>
      <w:r>
        <w:rPr/>
      </w:r>
    </w:p>
    <w:p>
      <w:pPr>
        <w:pStyle w:val="Normal"/>
        <w:jc w:val="both"/>
        <w:rPr/>
      </w:pPr>
      <w:r>
        <w:rPr/>
        <w:t>11.</w:t>
        <w:tab/>
        <w:t>Rep as to Taxes (4.9)</w:t>
      </w:r>
    </w:p>
    <w:p>
      <w:pPr>
        <w:pStyle w:val="Normal"/>
        <w:jc w:val="both"/>
        <w:rPr/>
      </w:pPr>
      <w:r>
        <w:rPr/>
      </w:r>
    </w:p>
    <w:p>
      <w:pPr>
        <w:pStyle w:val="Normal"/>
        <w:ind w:hanging="720" w:start="1440" w:end="0"/>
        <w:jc w:val="both"/>
        <w:rPr/>
      </w:pPr>
      <w:r>
        <w:rPr/>
        <w:t>a.</w:t>
        <w:tab/>
        <w:t>MAE qualifier deleted for simplicity to be consistent with pre/post split of tax matters; acceptable alternative would be to specify that MAE in 4.9 does not apply to certain subparagraphs (those that have post-closing impact or application; e.g., 4.9k)</w:t>
      </w:r>
    </w:p>
    <w:p>
      <w:pPr>
        <w:pStyle w:val="Normal"/>
        <w:ind w:hanging="720" w:start="1440" w:end="0"/>
        <w:jc w:val="both"/>
        <w:rPr/>
      </w:pPr>
      <w:r>
        <w:rPr/>
      </w:r>
    </w:p>
    <w:p>
      <w:pPr>
        <w:pStyle w:val="Normal"/>
        <w:jc w:val="both"/>
        <w:rPr/>
      </w:pPr>
      <w:r>
        <w:rPr/>
        <w:t>12.</w:t>
        <w:tab/>
        <w:t>Rep as to title to HPL/Newco assets (4.12)</w:t>
      </w:r>
    </w:p>
    <w:p>
      <w:pPr>
        <w:pStyle w:val="Normal"/>
        <w:jc w:val="both"/>
        <w:rPr/>
      </w:pPr>
      <w:r>
        <w:rPr/>
      </w:r>
    </w:p>
    <w:p>
      <w:pPr>
        <w:pStyle w:val="Normal"/>
        <w:ind w:hanging="720" w:start="1440" w:end="0"/>
        <w:jc w:val="both"/>
        <w:rPr/>
      </w:pPr>
      <w:r>
        <w:rPr/>
        <w:t>a.</w:t>
        <w:tab/>
        <w:t>rep should apply to all assets, not merely “material” assets</w:t>
      </w:r>
    </w:p>
    <w:p>
      <w:pPr>
        <w:pStyle w:val="Normal"/>
        <w:ind w:hanging="720" w:start="1440" w:end="0"/>
        <w:jc w:val="both"/>
        <w:rPr/>
      </w:pPr>
      <w:r>
        <w:rPr/>
      </w:r>
    </w:p>
    <w:p>
      <w:pPr>
        <w:pStyle w:val="Normal"/>
        <w:ind w:hanging="720" w:start="1440" w:end="0"/>
        <w:jc w:val="both"/>
        <w:rPr/>
      </w:pPr>
      <w:r>
        <w:rPr/>
        <w:t>b.</w:t>
        <w:tab/>
        <w:t>rep should not be separately qualified by MAE; MAE is already captured within Permitted Encumbrances exception, per definition</w:t>
      </w:r>
    </w:p>
    <w:p>
      <w:pPr>
        <w:pStyle w:val="Normal"/>
        <w:jc w:val="both"/>
        <w:rPr/>
      </w:pPr>
      <w:r>
        <w:rPr/>
      </w:r>
    </w:p>
    <w:p>
      <w:pPr>
        <w:pStyle w:val="Normal"/>
        <w:jc w:val="both"/>
        <w:rPr/>
      </w:pPr>
      <w:r>
        <w:rPr/>
        <w:t>13.</w:t>
        <w:tab/>
        <w:t>Rep as to Newco Contracts (4.13c)</w:t>
      </w:r>
    </w:p>
    <w:p>
      <w:pPr>
        <w:pStyle w:val="Normal"/>
        <w:jc w:val="both"/>
        <w:rPr/>
      </w:pPr>
      <w:r>
        <w:rPr/>
      </w:r>
    </w:p>
    <w:p>
      <w:pPr>
        <w:pStyle w:val="Normal"/>
        <w:ind w:hanging="720" w:start="1440" w:end="0"/>
        <w:jc w:val="both"/>
        <w:rPr/>
      </w:pPr>
      <w:r>
        <w:rPr/>
        <w:t>a.</w:t>
        <w:tab/>
        <w:t>the arrangement is Buyer receives all Newco Contracts so the definition of Newco Contracts should not be qualified by subjective terms like “necessary”; however, as with other related party contracts (Schedule 4.19), Buyer may designate which are not terminated and remain in effect post-Closing</w:t>
      </w:r>
    </w:p>
    <w:p>
      <w:pPr>
        <w:pStyle w:val="Normal"/>
        <w:ind w:hanging="720" w:start="1440" w:end="0"/>
        <w:jc w:val="both"/>
        <w:rPr/>
      </w:pPr>
      <w:r>
        <w:rPr/>
      </w:r>
    </w:p>
    <w:p>
      <w:pPr>
        <w:pStyle w:val="Normal"/>
        <w:jc w:val="both"/>
        <w:rPr/>
      </w:pPr>
      <w:r>
        <w:rPr/>
        <w:t>14.</w:t>
        <w:tab/>
        <w:t>Rep as to condition of assets (4.22)</w:t>
      </w:r>
    </w:p>
    <w:p>
      <w:pPr>
        <w:pStyle w:val="Normal"/>
        <w:jc w:val="both"/>
        <w:rPr/>
      </w:pPr>
      <w:r>
        <w:rPr/>
      </w:r>
    </w:p>
    <w:p>
      <w:pPr>
        <w:pStyle w:val="Normal"/>
        <w:ind w:hanging="720" w:start="1440" w:end="0"/>
        <w:jc w:val="both"/>
        <w:rPr/>
      </w:pPr>
      <w:r>
        <w:rPr/>
        <w:t>a.</w:t>
        <w:tab/>
        <w:t>Buyer requires a rep that assets are in reasonably good condition, ordinary wear and tear excepted, although we have included a knowledge qualifier in this draft</w:t>
      </w:r>
    </w:p>
    <w:p>
      <w:pPr>
        <w:pStyle w:val="Normal"/>
        <w:ind w:hanging="720" w:start="1440" w:end="0"/>
        <w:jc w:val="both"/>
        <w:rPr/>
      </w:pPr>
      <w:r>
        <w:rPr/>
      </w:r>
    </w:p>
    <w:p>
      <w:pPr>
        <w:pStyle w:val="Normal"/>
        <w:jc w:val="both"/>
        <w:rPr>
          <w:u w:val="single"/>
        </w:rPr>
      </w:pPr>
      <w:r>
        <w:rPr>
          <w:u w:val="single"/>
        </w:rPr>
        <w:t>Certain Contracts</w:t>
      </w:r>
    </w:p>
    <w:p>
      <w:pPr>
        <w:pStyle w:val="Normal"/>
        <w:jc w:val="both"/>
        <w:rPr>
          <w:u w:val="single"/>
        </w:rPr>
      </w:pPr>
      <w:r>
        <w:rPr>
          <w:u w:val="single"/>
        </w:rPr>
      </w:r>
    </w:p>
    <w:p>
      <w:pPr>
        <w:pStyle w:val="Normal"/>
        <w:jc w:val="both"/>
        <w:rPr/>
      </w:pPr>
      <w:r>
        <w:rPr/>
        <w:t>15.</w:t>
        <w:tab/>
        <w:t>Termination of Related Party contracts (6.1, 7.10, 7.18)</w:t>
      </w:r>
    </w:p>
    <w:p>
      <w:pPr>
        <w:pStyle w:val="Normal"/>
        <w:jc w:val="both"/>
        <w:rPr/>
      </w:pPr>
      <w:r>
        <w:rPr/>
      </w:r>
    </w:p>
    <w:p>
      <w:pPr>
        <w:pStyle w:val="Normal"/>
        <w:ind w:hanging="720" w:start="1440" w:end="0"/>
        <w:jc w:val="both"/>
        <w:rPr/>
      </w:pPr>
      <w:r>
        <w:rPr/>
        <w:t>a.</w:t>
        <w:tab/>
        <w:t>Buyer requires the ability to designate those related party agreements which are to remain in effect post-closing, but will agree to make its selections based primarily on operational considerations</w:t>
      </w:r>
    </w:p>
    <w:p>
      <w:pPr>
        <w:pStyle w:val="Normal"/>
        <w:jc w:val="both"/>
        <w:rPr/>
      </w:pPr>
      <w:r>
        <w:rPr/>
      </w:r>
    </w:p>
    <w:p>
      <w:pPr>
        <w:pStyle w:val="Normal"/>
        <w:keepNext w:val="true"/>
        <w:jc w:val="both"/>
        <w:rPr/>
      </w:pPr>
      <w:r>
        <w:rPr/>
        <w:t>16.</w:t>
        <w:tab/>
        <w:t>Amendment of operational agreements between signing and closing (6.2i)</w:t>
      </w:r>
    </w:p>
    <w:p>
      <w:pPr>
        <w:pStyle w:val="Normal"/>
        <w:keepNext w:val="true"/>
        <w:jc w:val="both"/>
        <w:rPr/>
      </w:pPr>
      <w:r>
        <w:rPr/>
      </w:r>
    </w:p>
    <w:p>
      <w:pPr>
        <w:pStyle w:val="Normal"/>
        <w:ind w:hanging="720" w:start="1440" w:end="0"/>
        <w:jc w:val="both"/>
        <w:rPr/>
      </w:pPr>
      <w:r>
        <w:rPr/>
        <w:t>a.</w:t>
        <w:tab/>
        <w:t>Buyer wants the ability to approve any change to the Entex agreements but is willing to limit its approval rights on other Contracts to adverse impacts of $500,000 individually or in the aggregate</w:t>
      </w:r>
    </w:p>
    <w:p>
      <w:pPr>
        <w:pStyle w:val="Normal"/>
        <w:ind w:hanging="720" w:start="1440" w:end="0"/>
        <w:jc w:val="both"/>
        <w:rPr/>
      </w:pPr>
      <w:r>
        <w:rPr/>
      </w:r>
    </w:p>
    <w:p>
      <w:pPr>
        <w:pStyle w:val="Normal"/>
        <w:keepNext w:val="true"/>
        <w:jc w:val="both"/>
        <w:rPr>
          <w:u w:val="single"/>
        </w:rPr>
      </w:pPr>
      <w:r>
        <w:rPr>
          <w:u w:val="single"/>
        </w:rPr>
        <w:t>Integrity of Seller’s reps</w:t>
      </w:r>
    </w:p>
    <w:p>
      <w:pPr>
        <w:pStyle w:val="Normal"/>
        <w:keepNext w:val="true"/>
        <w:jc w:val="both"/>
        <w:rPr/>
      </w:pPr>
      <w:r>
        <w:rPr/>
      </w:r>
    </w:p>
    <w:p>
      <w:pPr>
        <w:pStyle w:val="Normal"/>
        <w:keepNext w:val="true"/>
        <w:jc w:val="both"/>
        <w:rPr/>
      </w:pPr>
      <w:r>
        <w:rPr/>
        <w:t>17.</w:t>
        <w:tab/>
        <w:t>Due diligence does not affect reps (7.1d)</w:t>
      </w:r>
    </w:p>
    <w:p>
      <w:pPr>
        <w:pStyle w:val="Normal"/>
        <w:keepNext w:val="true"/>
        <w:jc w:val="both"/>
        <w:rPr/>
      </w:pPr>
      <w:r>
        <w:rPr/>
      </w:r>
    </w:p>
    <w:p>
      <w:pPr>
        <w:pStyle w:val="Normal"/>
        <w:ind w:hanging="720" w:start="1440" w:end="0"/>
        <w:jc w:val="both"/>
        <w:rPr/>
      </w:pPr>
      <w:r>
        <w:rPr/>
        <w:t>a.</w:t>
        <w:tab/>
        <w:t>The proviso is deleted because Buyer is entitled to rely on Seller’s reps notwithstanding it had a limited opportunity to conduct due diligence (and relied for such effort on the materials and information provided by Seller).  Although the proviso has a patina of fairness, its only real purpose in documents of this type is to shift the burden of disclosure and diminish Buyer’s indemnity protection.</w:t>
      </w:r>
    </w:p>
    <w:p>
      <w:pPr>
        <w:pStyle w:val="Normal"/>
        <w:jc w:val="both"/>
        <w:rPr/>
      </w:pPr>
      <w:r>
        <w:rPr/>
      </w:r>
    </w:p>
    <w:p>
      <w:pPr>
        <w:pStyle w:val="Normal"/>
        <w:keepNext w:val="true"/>
        <w:jc w:val="both"/>
        <w:rPr>
          <w:u w:val="single"/>
        </w:rPr>
      </w:pPr>
      <w:r>
        <w:rPr>
          <w:u w:val="single"/>
        </w:rPr>
        <w:t>Hart Scott</w:t>
      </w:r>
    </w:p>
    <w:p>
      <w:pPr>
        <w:pStyle w:val="Normal"/>
        <w:keepNext w:val="true"/>
        <w:jc w:val="both"/>
        <w:rPr/>
      </w:pPr>
      <w:r>
        <w:rPr/>
      </w:r>
    </w:p>
    <w:p>
      <w:pPr>
        <w:pStyle w:val="Normal"/>
        <w:keepNext w:val="true"/>
        <w:jc w:val="both"/>
        <w:rPr/>
      </w:pPr>
      <w:r>
        <w:rPr/>
        <w:t>18.</w:t>
        <w:tab/>
        <w:t>HSR (7.2(a))</w:t>
      </w:r>
    </w:p>
    <w:p>
      <w:pPr>
        <w:pStyle w:val="Normal"/>
        <w:jc w:val="both"/>
        <w:rPr/>
      </w:pPr>
      <w:r>
        <w:rPr/>
      </w:r>
    </w:p>
    <w:p>
      <w:pPr>
        <w:pStyle w:val="Normal"/>
        <w:ind w:hanging="720" w:start="1440" w:end="0"/>
        <w:jc w:val="both"/>
        <w:rPr/>
      </w:pPr>
      <w:r>
        <w:rPr/>
        <w:t>a.</w:t>
        <w:tab/>
        <w:t>Buyer does not intend to pay more than one HSR fee.  The clarification regarding Buyer’s payment of HSR fees for the acquisition of the Shares and Newco Interest is necessary in the event Seller, as an acquiring party, would owe a HSR fee in connection with the liquidation or other transfers related to Excluded Assets.</w:t>
      </w:r>
    </w:p>
    <w:p>
      <w:pPr>
        <w:pStyle w:val="Normal"/>
        <w:ind w:hanging="720" w:start="1440" w:end="0"/>
        <w:jc w:val="both"/>
        <w:rPr/>
      </w:pPr>
      <w:r>
        <w:rPr/>
      </w:r>
    </w:p>
    <w:p>
      <w:pPr>
        <w:pStyle w:val="Normal"/>
        <w:ind w:hanging="720" w:start="1440" w:end="0"/>
        <w:jc w:val="both"/>
        <w:rPr/>
      </w:pPr>
      <w:r>
        <w:rPr/>
        <w:t>b.</w:t>
        <w:tab/>
        <w:t>The divestiture sentence has been deleted.  The first two sentences of 7.2(a) cover the first part of the deleted sentence.  Buyer agrees to “take the HSR risk” except with respect to divestitures of power plants, Bammel, etc., as provided in modified 7.2(a) and the closing condition in Section 9.3.</w:t>
      </w:r>
    </w:p>
    <w:p>
      <w:pPr>
        <w:pStyle w:val="Normal"/>
        <w:ind w:hanging="720" w:start="1440" w:end="0"/>
        <w:jc w:val="both"/>
        <w:rPr/>
      </w:pPr>
      <w:r>
        <w:rPr/>
      </w:r>
    </w:p>
    <w:p>
      <w:pPr>
        <w:pStyle w:val="Normal"/>
        <w:jc w:val="both"/>
        <w:rPr>
          <w:u w:val="single"/>
        </w:rPr>
      </w:pPr>
      <w:r>
        <w:rPr>
          <w:u w:val="single"/>
        </w:rPr>
        <w:t>Confidentiality</w:t>
      </w:r>
    </w:p>
    <w:p>
      <w:pPr>
        <w:pStyle w:val="Normal"/>
        <w:jc w:val="both"/>
        <w:rPr>
          <w:u w:val="single"/>
        </w:rPr>
      </w:pPr>
      <w:r>
        <w:rPr>
          <w:u w:val="single"/>
        </w:rPr>
      </w:r>
    </w:p>
    <w:p>
      <w:pPr>
        <w:pStyle w:val="Normal"/>
        <w:jc w:val="both"/>
        <w:rPr/>
      </w:pPr>
      <w:r>
        <w:rPr/>
        <w:t>19.</w:t>
        <w:tab/>
        <w:t>Duration of confidential treatment of the PSA (7.2c)</w:t>
      </w:r>
    </w:p>
    <w:p>
      <w:pPr>
        <w:pStyle w:val="Normal"/>
        <w:jc w:val="both"/>
        <w:rPr/>
      </w:pPr>
      <w:r>
        <w:rPr/>
      </w:r>
    </w:p>
    <w:p>
      <w:pPr>
        <w:pStyle w:val="Normal"/>
        <w:ind w:hanging="720" w:start="1440" w:end="0"/>
        <w:jc w:val="both"/>
        <w:rPr/>
      </w:pPr>
      <w:r>
        <w:rPr/>
        <w:t>a.</w:t>
        <w:tab/>
        <w:t>general rule is 5 years; term of Sublease as to Sublease/RUA</w:t>
      </w:r>
    </w:p>
    <w:p>
      <w:pPr>
        <w:pStyle w:val="Normal"/>
        <w:ind w:hanging="720" w:start="1440" w:end="0"/>
        <w:jc w:val="both"/>
        <w:rPr/>
      </w:pPr>
      <w:r>
        <w:rPr/>
      </w:r>
    </w:p>
    <w:p>
      <w:pPr>
        <w:pStyle w:val="Normal"/>
        <w:jc w:val="both"/>
        <w:rPr>
          <w:u w:val="single"/>
        </w:rPr>
      </w:pPr>
      <w:r>
        <w:rPr>
          <w:u w:val="single"/>
        </w:rPr>
        <w:t>Amendment of Disclosure Schedules</w:t>
      </w:r>
    </w:p>
    <w:p>
      <w:pPr>
        <w:pStyle w:val="Normal"/>
        <w:jc w:val="both"/>
        <w:rPr>
          <w:u w:val="single"/>
        </w:rPr>
      </w:pPr>
      <w:r>
        <w:rPr>
          <w:u w:val="single"/>
        </w:rPr>
      </w:r>
    </w:p>
    <w:p>
      <w:pPr>
        <w:pStyle w:val="Normal"/>
        <w:jc w:val="both"/>
        <w:rPr/>
      </w:pPr>
      <w:r>
        <w:rPr/>
        <w:t>20.</w:t>
        <w:tab/>
        <w:t>Supplementation of schedules (7.5)</w:t>
      </w:r>
    </w:p>
    <w:p>
      <w:pPr>
        <w:pStyle w:val="Normal"/>
        <w:jc w:val="both"/>
        <w:rPr/>
      </w:pPr>
      <w:r>
        <w:rPr/>
      </w:r>
    </w:p>
    <w:p>
      <w:pPr>
        <w:pStyle w:val="Normal"/>
        <w:ind w:hanging="720" w:start="1440" w:end="0"/>
        <w:jc w:val="both"/>
        <w:rPr/>
      </w:pPr>
      <w:r>
        <w:rPr/>
        <w:t>a.</w:t>
        <w:tab/>
        <w:t xml:space="preserve">Although Buyer is willing to drop its prior requirement of a specific dollar amount in the MAE definition, it requires a dollar amount in the provision dealing with supplementation of Disclosure Schedules.  If a change relates to something existing before signing, proposed in the final weeks before Closing, or involving more than $1MM individually or in the aggregate, Buyer could require a price renegotiation and, if no agreement is reached, terminate the agreement. </w:t>
      </w:r>
    </w:p>
    <w:p>
      <w:pPr>
        <w:pStyle w:val="Normal"/>
        <w:ind w:hanging="720" w:start="1440" w:end="0"/>
        <w:jc w:val="both"/>
        <w:rPr/>
      </w:pPr>
      <w:r>
        <w:rPr/>
      </w:r>
    </w:p>
    <w:p>
      <w:pPr>
        <w:pStyle w:val="Normal"/>
        <w:keepNext w:val="true"/>
        <w:jc w:val="both"/>
        <w:rPr>
          <w:u w:val="single"/>
        </w:rPr>
      </w:pPr>
      <w:r>
        <w:rPr>
          <w:u w:val="single"/>
        </w:rPr>
        <w:t>Business Interruption Insurance</w:t>
      </w:r>
    </w:p>
    <w:p>
      <w:pPr>
        <w:pStyle w:val="Normal"/>
        <w:keepNext w:val="true"/>
        <w:jc w:val="both"/>
        <w:rPr/>
      </w:pPr>
      <w:r>
        <w:rPr/>
      </w:r>
    </w:p>
    <w:p>
      <w:pPr>
        <w:pStyle w:val="Normal"/>
        <w:keepNext w:val="true"/>
        <w:jc w:val="both"/>
        <w:rPr/>
      </w:pPr>
      <w:r>
        <w:rPr/>
        <w:t>21.</w:t>
        <w:tab/>
        <w:t>Damage or Casualty (7.7)</w:t>
      </w:r>
    </w:p>
    <w:p>
      <w:pPr>
        <w:pStyle w:val="Normal"/>
        <w:keepNext w:val="true"/>
        <w:jc w:val="both"/>
        <w:rPr/>
      </w:pPr>
      <w:r>
        <w:rPr/>
      </w:r>
    </w:p>
    <w:p>
      <w:pPr>
        <w:pStyle w:val="Normal"/>
        <w:ind w:hanging="720" w:start="1440" w:end="0"/>
        <w:jc w:val="both"/>
        <w:rPr/>
      </w:pPr>
      <w:r>
        <w:rPr/>
        <w:t>a.</w:t>
        <w:tab/>
        <w:t>Seller’s language in last draft seemed to weaken this concept.  Buyer is willing to accept business interruption insurance if sufficient and confirmed by carrier; otherwise Buyer requires the right to terminate for material damage</w:t>
      </w:r>
    </w:p>
    <w:p>
      <w:pPr>
        <w:pStyle w:val="Normal"/>
        <w:ind w:hanging="720" w:start="1440" w:end="0"/>
        <w:jc w:val="both"/>
        <w:rPr/>
      </w:pPr>
      <w:r>
        <w:rPr/>
      </w:r>
    </w:p>
    <w:p>
      <w:pPr>
        <w:pStyle w:val="Normal"/>
        <w:jc w:val="both"/>
        <w:rPr>
          <w:u w:val="single"/>
        </w:rPr>
      </w:pPr>
      <w:r>
        <w:rPr>
          <w:u w:val="single"/>
        </w:rPr>
        <w:t>Retained Litigation</w:t>
      </w:r>
    </w:p>
    <w:p>
      <w:pPr>
        <w:pStyle w:val="Normal"/>
        <w:jc w:val="both"/>
        <w:rPr>
          <w:u w:val="single"/>
        </w:rPr>
      </w:pPr>
      <w:r>
        <w:rPr>
          <w:u w:val="single"/>
        </w:rPr>
      </w:r>
    </w:p>
    <w:p>
      <w:pPr>
        <w:pStyle w:val="Normal"/>
        <w:jc w:val="both"/>
        <w:rPr/>
      </w:pPr>
      <w:r>
        <w:rPr/>
        <w:t>22.</w:t>
        <w:tab/>
        <w:t>Retained litigation (7.8)</w:t>
      </w:r>
    </w:p>
    <w:p>
      <w:pPr>
        <w:pStyle w:val="Normal"/>
        <w:jc w:val="both"/>
        <w:rPr/>
      </w:pPr>
      <w:r>
        <w:rPr/>
      </w:r>
    </w:p>
    <w:p>
      <w:pPr>
        <w:pStyle w:val="Normal"/>
        <w:ind w:hanging="720" w:start="1440" w:end="0"/>
        <w:jc w:val="both"/>
        <w:rPr/>
      </w:pPr>
      <w:r>
        <w:rPr/>
        <w:t>a.</w:t>
        <w:tab/>
        <w:t>Buyer anticipates Seller would retain and handle all pending litigation at the time of the Closing, with Buyer having a right to participate at its expense.  Buyer noted that Schedules indicate some litigation is retained by HPL and this needs to be discussed.</w:t>
      </w:r>
    </w:p>
    <w:p>
      <w:pPr>
        <w:pStyle w:val="Normal"/>
        <w:ind w:hanging="720" w:start="1440" w:end="0"/>
        <w:jc w:val="both"/>
        <w:rPr/>
      </w:pPr>
      <w:r>
        <w:rPr/>
      </w:r>
    </w:p>
    <w:p>
      <w:pPr>
        <w:pStyle w:val="Normal"/>
        <w:jc w:val="both"/>
        <w:rPr>
          <w:u w:val="single"/>
        </w:rPr>
      </w:pPr>
      <w:r>
        <w:rPr>
          <w:u w:val="single"/>
        </w:rPr>
        <w:t>Company Guarantees</w:t>
      </w:r>
    </w:p>
    <w:p>
      <w:pPr>
        <w:pStyle w:val="Normal"/>
        <w:jc w:val="both"/>
        <w:rPr>
          <w:u w:val="single"/>
        </w:rPr>
      </w:pPr>
      <w:r>
        <w:rPr>
          <w:u w:val="single"/>
        </w:rPr>
      </w:r>
    </w:p>
    <w:p>
      <w:pPr>
        <w:pStyle w:val="Normal"/>
        <w:jc w:val="both"/>
        <w:rPr/>
      </w:pPr>
      <w:r>
        <w:rPr/>
        <w:t>23.</w:t>
        <w:tab/>
        <w:t>Company Guarantees (e.g., Enron guaranty given to Entex) (7.10)</w:t>
      </w:r>
    </w:p>
    <w:p>
      <w:pPr>
        <w:pStyle w:val="Normal"/>
        <w:jc w:val="both"/>
        <w:rPr/>
      </w:pPr>
      <w:r>
        <w:rPr/>
      </w:r>
    </w:p>
    <w:p>
      <w:pPr>
        <w:pStyle w:val="Normal"/>
        <w:ind w:hanging="720" w:start="1440" w:end="0"/>
        <w:jc w:val="both"/>
        <w:rPr/>
      </w:pPr>
      <w:r>
        <w:rPr/>
        <w:t>a.</w:t>
        <w:tab/>
        <w:t>Buyer understands Seller is reworking Schedule 1.1(a).  If Seller is unable to obtain releases, Buyer will indemnify Seller for obligations attributable to the period after the Closing only.</w:t>
      </w:r>
    </w:p>
    <w:p>
      <w:pPr>
        <w:pStyle w:val="Normal"/>
        <w:ind w:hanging="720" w:start="1440" w:end="0"/>
        <w:jc w:val="both"/>
        <w:rPr/>
      </w:pPr>
      <w:r>
        <w:rPr/>
      </w:r>
    </w:p>
    <w:p>
      <w:pPr>
        <w:pStyle w:val="Normal"/>
        <w:jc w:val="both"/>
        <w:rPr>
          <w:u w:val="single"/>
        </w:rPr>
      </w:pPr>
      <w:r>
        <w:rPr>
          <w:u w:val="single"/>
        </w:rPr>
        <w:t>Settlement of Imbalances</w:t>
      </w:r>
    </w:p>
    <w:p>
      <w:pPr>
        <w:pStyle w:val="Normal"/>
        <w:jc w:val="both"/>
        <w:rPr>
          <w:u w:val="single"/>
        </w:rPr>
      </w:pPr>
      <w:r>
        <w:rPr>
          <w:u w:val="single"/>
        </w:rPr>
      </w:r>
    </w:p>
    <w:p>
      <w:pPr>
        <w:pStyle w:val="Normal"/>
        <w:jc w:val="both"/>
        <w:rPr/>
      </w:pPr>
      <w:r>
        <w:rPr/>
        <w:t>24.</w:t>
        <w:tab/>
        <w:t>Imbalances (7.12)</w:t>
      </w:r>
    </w:p>
    <w:p>
      <w:pPr>
        <w:pStyle w:val="Normal"/>
        <w:jc w:val="both"/>
        <w:rPr/>
      </w:pPr>
      <w:r>
        <w:rPr/>
      </w:r>
    </w:p>
    <w:p>
      <w:pPr>
        <w:pStyle w:val="Normal"/>
        <w:ind w:hanging="720" w:start="1440" w:end="0"/>
        <w:jc w:val="both"/>
        <w:rPr/>
      </w:pPr>
      <w:r>
        <w:rPr/>
        <w:t>a.</w:t>
        <w:tab/>
        <w:t>Claims attributable to the pre-closing period must be borne by Seller whenever the claim is made.</w:t>
      </w:r>
    </w:p>
    <w:p>
      <w:pPr>
        <w:pStyle w:val="Normal"/>
        <w:jc w:val="both"/>
        <w:rPr/>
      </w:pPr>
      <w:r>
        <w:rPr/>
      </w:r>
    </w:p>
    <w:p>
      <w:pPr>
        <w:pStyle w:val="Normal"/>
        <w:jc w:val="both"/>
        <w:rPr>
          <w:u w:val="single"/>
        </w:rPr>
      </w:pPr>
      <w:r>
        <w:rPr>
          <w:u w:val="single"/>
        </w:rPr>
        <w:t>Releases</w:t>
      </w:r>
    </w:p>
    <w:p>
      <w:pPr>
        <w:pStyle w:val="Normal"/>
        <w:jc w:val="both"/>
        <w:rPr/>
      </w:pPr>
      <w:r>
        <w:rPr/>
      </w:r>
    </w:p>
    <w:p>
      <w:pPr>
        <w:pStyle w:val="Normal"/>
        <w:jc w:val="both"/>
        <w:rPr/>
      </w:pPr>
      <w:r>
        <w:rPr/>
        <w:t>25.</w:t>
        <w:tab/>
        <w:t>Releases (7.18)</w:t>
      </w:r>
    </w:p>
    <w:p>
      <w:pPr>
        <w:pStyle w:val="Normal"/>
        <w:jc w:val="both"/>
        <w:rPr/>
      </w:pPr>
      <w:r>
        <w:rPr/>
      </w:r>
    </w:p>
    <w:p>
      <w:pPr>
        <w:pStyle w:val="Normal"/>
        <w:ind w:hanging="720" w:start="1440" w:end="0"/>
        <w:jc w:val="both"/>
        <w:rPr/>
      </w:pPr>
      <w:r>
        <w:rPr/>
        <w:t>a.</w:t>
        <w:tab/>
        <w:t>Seller’s release of Acquired Companies should also cover Affiliates of the Acquired Companies, and should release pre-closing claims by Seller under any related party agreements that remain in effect post-closing.</w:t>
      </w:r>
    </w:p>
    <w:p>
      <w:pPr>
        <w:pStyle w:val="Normal"/>
        <w:ind w:hanging="720" w:start="1440" w:end="0"/>
        <w:jc w:val="both"/>
        <w:rPr/>
      </w:pPr>
      <w:r>
        <w:rPr/>
      </w:r>
    </w:p>
    <w:p>
      <w:pPr>
        <w:pStyle w:val="Normal"/>
        <w:jc w:val="both"/>
        <w:rPr>
          <w:u w:val="single"/>
        </w:rPr>
      </w:pPr>
      <w:r>
        <w:rPr>
          <w:u w:val="single"/>
        </w:rPr>
        <w:t>Buyer’s Closing Conditions</w:t>
      </w:r>
    </w:p>
    <w:p>
      <w:pPr>
        <w:pStyle w:val="Normal"/>
        <w:jc w:val="both"/>
        <w:rPr>
          <w:u w:val="single"/>
        </w:rPr>
      </w:pPr>
      <w:r>
        <w:rPr>
          <w:u w:val="single"/>
        </w:rPr>
      </w:r>
    </w:p>
    <w:p>
      <w:pPr>
        <w:pStyle w:val="Normal"/>
        <w:jc w:val="both"/>
        <w:rPr/>
      </w:pPr>
      <w:r>
        <w:rPr/>
        <w:t>26.</w:t>
        <w:tab/>
        <w:t>Buyer’s closing conditions - unconditional consents (8.3b, c; and 9.3b, c)</w:t>
      </w:r>
    </w:p>
    <w:p>
      <w:pPr>
        <w:pStyle w:val="Normal"/>
        <w:jc w:val="both"/>
        <w:rPr/>
      </w:pPr>
      <w:r>
        <w:rPr/>
      </w:r>
    </w:p>
    <w:p>
      <w:pPr>
        <w:pStyle w:val="Normal"/>
        <w:ind w:hanging="720" w:start="1440" w:end="0"/>
        <w:jc w:val="both"/>
        <w:rPr/>
      </w:pPr>
      <w:r>
        <w:rPr/>
        <w:t>a.</w:t>
        <w:tab/>
        <w:t>Buyer believes all Third Party consents are material and therefore the closing condition as to Third Party consents should not be qualified by materiality.</w:t>
      </w:r>
    </w:p>
    <w:p>
      <w:pPr>
        <w:pStyle w:val="Normal"/>
        <w:jc w:val="both"/>
        <w:rPr/>
      </w:pPr>
      <w:r>
        <w:rPr/>
      </w:r>
    </w:p>
    <w:p>
      <w:pPr>
        <w:pStyle w:val="Normal"/>
        <w:keepNext w:val="true"/>
        <w:jc w:val="both"/>
        <w:rPr/>
      </w:pPr>
      <w:r>
        <w:rPr/>
        <w:t>27.</w:t>
        <w:tab/>
        <w:t>Buyer’s closing conditions - legal proceedings (8.4 and 9.4)</w:t>
      </w:r>
    </w:p>
    <w:p>
      <w:pPr>
        <w:pStyle w:val="Normal"/>
        <w:keepNext w:val="true"/>
        <w:jc w:val="both"/>
        <w:rPr/>
      </w:pPr>
      <w:r>
        <w:rPr/>
      </w:r>
    </w:p>
    <w:p>
      <w:pPr>
        <w:pStyle w:val="Normal"/>
        <w:ind w:hanging="720" w:start="1440" w:end="0"/>
        <w:jc w:val="both"/>
        <w:rPr/>
      </w:pPr>
      <w:r>
        <w:rPr/>
        <w:t>a.</w:t>
        <w:tab/>
        <w:t>Buyer would not want to be obligated to close into a third party’s damages lawsuit (e.g., say El Paso claims damages related to failure to extend ROFR)</w:t>
      </w:r>
    </w:p>
    <w:p>
      <w:pPr>
        <w:pStyle w:val="Normal"/>
        <w:jc w:val="both"/>
        <w:rPr/>
      </w:pPr>
      <w:r>
        <w:rPr/>
      </w:r>
    </w:p>
    <w:p>
      <w:pPr>
        <w:pStyle w:val="Normal"/>
        <w:jc w:val="both"/>
        <w:rPr/>
      </w:pPr>
      <w:r>
        <w:rPr/>
        <w:t>28.</w:t>
        <w:tab/>
        <w:t>Buyer’s closing conditions - MAE (9.10)</w:t>
      </w:r>
    </w:p>
    <w:p>
      <w:pPr>
        <w:pStyle w:val="Normal"/>
        <w:jc w:val="both"/>
        <w:rPr/>
      </w:pPr>
      <w:r>
        <w:rPr/>
      </w:r>
    </w:p>
    <w:p>
      <w:pPr>
        <w:pStyle w:val="Normal"/>
        <w:ind w:hanging="720" w:start="1440" w:end="0"/>
        <w:jc w:val="both"/>
        <w:rPr/>
      </w:pPr>
      <w:r>
        <w:rPr/>
        <w:t>a.</w:t>
        <w:tab/>
        <w:t>Buyer requires the ability to declare an MAE (unless adequately covered by the damage/repair or insurance scenario contained in Section 7.7)</w:t>
      </w:r>
    </w:p>
    <w:p>
      <w:pPr>
        <w:pStyle w:val="Normal"/>
        <w:ind w:hanging="720" w:start="1440" w:end="0"/>
        <w:jc w:val="both"/>
        <w:rPr/>
      </w:pPr>
      <w:r>
        <w:rPr/>
      </w:r>
    </w:p>
    <w:p>
      <w:pPr>
        <w:pStyle w:val="Normal"/>
        <w:keepNext w:val="true"/>
        <w:jc w:val="both"/>
        <w:rPr/>
      </w:pPr>
      <w:r>
        <w:rPr/>
        <w:t>29.</w:t>
        <w:tab/>
        <w:t>Buyer’s closing conditions - IT systems functional (9.9)</w:t>
      </w:r>
    </w:p>
    <w:p>
      <w:pPr>
        <w:pStyle w:val="Normal"/>
        <w:keepNext w:val="true"/>
        <w:jc w:val="both"/>
        <w:rPr/>
      </w:pPr>
      <w:r>
        <w:rPr/>
      </w:r>
    </w:p>
    <w:p>
      <w:pPr>
        <w:pStyle w:val="Normal"/>
        <w:keepNext w:val="true"/>
        <w:ind w:hanging="720" w:start="1440" w:end="0"/>
        <w:jc w:val="both"/>
        <w:rPr/>
      </w:pPr>
      <w:r>
        <w:rPr/>
        <w:t>a.</w:t>
        <w:tab/>
        <w:t>Buyer would not be obligated to close unless the IT systems provided by Seller’s Affiliates are functional and testing completed per IT Services Agreement.</w:t>
      </w:r>
    </w:p>
    <w:p>
      <w:pPr>
        <w:pStyle w:val="Normal"/>
        <w:jc w:val="both"/>
        <w:rPr>
          <w:u w:val="single"/>
        </w:rPr>
      </w:pPr>
      <w:r>
        <w:rPr>
          <w:u w:val="single"/>
        </w:rPr>
      </w:r>
    </w:p>
    <w:p>
      <w:pPr>
        <w:pStyle w:val="Normal"/>
        <w:jc w:val="both"/>
        <w:rPr/>
      </w:pPr>
      <w:r>
        <w:rPr/>
        <w:t>30.</w:t>
        <w:tab/>
        <w:t>Buyer’s closing conditions - due diligence (9.15)</w:t>
      </w:r>
    </w:p>
    <w:p>
      <w:pPr>
        <w:pStyle w:val="Normal"/>
        <w:jc w:val="both"/>
        <w:rPr/>
      </w:pPr>
      <w:r>
        <w:rPr/>
      </w:r>
    </w:p>
    <w:p>
      <w:pPr>
        <w:pStyle w:val="Normal"/>
        <w:ind w:hanging="720" w:start="1440" w:end="0"/>
        <w:jc w:val="both"/>
        <w:rPr/>
      </w:pPr>
      <w:r>
        <w:rPr/>
        <w:t>a.</w:t>
        <w:tab/>
        <w:t>Buyer needs the opportunity to complete its outstanding due diligence matters which, based on what is presently known, include A/S Pipeline, Entex, and Company Guarantees matters.  If the diligence is completed prior to signing, the closing condition can be eliminated.</w:t>
      </w:r>
    </w:p>
    <w:p>
      <w:pPr>
        <w:pStyle w:val="Normal"/>
        <w:ind w:hanging="720" w:start="1440" w:end="0"/>
        <w:jc w:val="both"/>
        <w:rPr/>
      </w:pPr>
      <w:r>
        <w:rPr/>
      </w:r>
    </w:p>
    <w:p>
      <w:pPr>
        <w:pStyle w:val="Normal"/>
        <w:keepNext w:val="true"/>
        <w:jc w:val="both"/>
        <w:rPr>
          <w:u w:val="single"/>
        </w:rPr>
      </w:pPr>
      <w:r>
        <w:rPr>
          <w:u w:val="single"/>
        </w:rPr>
        <w:t>Break-up Fee</w:t>
      </w:r>
    </w:p>
    <w:p>
      <w:pPr>
        <w:pStyle w:val="Normal"/>
        <w:keepNext w:val="true"/>
        <w:jc w:val="both"/>
        <w:rPr>
          <w:u w:val="single"/>
        </w:rPr>
      </w:pPr>
      <w:r>
        <w:rPr>
          <w:u w:val="single"/>
        </w:rPr>
      </w:r>
    </w:p>
    <w:p>
      <w:pPr>
        <w:pStyle w:val="Normal"/>
        <w:keepNext w:val="true"/>
        <w:jc w:val="both"/>
        <w:rPr/>
      </w:pPr>
      <w:r>
        <w:rPr/>
        <w:t>31.</w:t>
        <w:tab/>
        <w:t>SEC approval/$35MM fee (10.5; 10.6)</w:t>
      </w:r>
    </w:p>
    <w:p>
      <w:pPr>
        <w:pStyle w:val="Normal"/>
        <w:keepNext w:val="true"/>
        <w:jc w:val="both"/>
        <w:rPr/>
      </w:pPr>
      <w:r>
        <w:rPr/>
      </w:r>
    </w:p>
    <w:p>
      <w:pPr>
        <w:pStyle w:val="Normal"/>
        <w:keepNext w:val="true"/>
        <w:ind w:hanging="720" w:start="1440" w:end="0"/>
        <w:jc w:val="both"/>
        <w:rPr/>
      </w:pPr>
      <w:r>
        <w:rPr/>
        <w:t>a.</w:t>
        <w:tab/>
        <w:t>delete “Substantive Intervention” - any intervention avoids break-up fee</w:t>
      </w:r>
    </w:p>
    <w:p>
      <w:pPr>
        <w:pStyle w:val="Normal"/>
        <w:keepNext w:val="true"/>
        <w:ind w:hanging="720" w:start="1440" w:end="0"/>
        <w:jc w:val="both"/>
        <w:rPr/>
      </w:pPr>
      <w:r>
        <w:rPr/>
      </w:r>
    </w:p>
    <w:p>
      <w:pPr>
        <w:pStyle w:val="Normal"/>
        <w:keepNext w:val="true"/>
        <w:ind w:hanging="720" w:start="1440" w:end="0"/>
        <w:jc w:val="both"/>
        <w:rPr/>
      </w:pPr>
      <w:r>
        <w:rPr/>
        <w:t>b.</w:t>
        <w:tab/>
        <w:t>no extensions beyond September 30</w:t>
      </w:r>
    </w:p>
    <w:p>
      <w:pPr>
        <w:pStyle w:val="Normal"/>
        <w:keepNext w:val="true"/>
        <w:ind w:hanging="720" w:start="1440" w:end="0"/>
        <w:jc w:val="both"/>
        <w:rPr/>
      </w:pPr>
      <w:r>
        <w:rPr/>
      </w:r>
    </w:p>
    <w:p>
      <w:pPr>
        <w:pStyle w:val="Normal"/>
        <w:keepNext w:val="true"/>
        <w:ind w:hanging="720" w:start="1440" w:end="0"/>
        <w:jc w:val="both"/>
        <w:rPr/>
      </w:pPr>
      <w:r>
        <w:rPr/>
        <w:t>c.</w:t>
        <w:tab/>
        <w:t>Section 10.6 regarding interest is deleted because it is covered in Section 10.5(b)(iii)</w:t>
      </w:r>
    </w:p>
    <w:p>
      <w:pPr>
        <w:pStyle w:val="Normal"/>
        <w:keepNext w:val="true"/>
        <w:jc w:val="both"/>
        <w:rPr/>
      </w:pPr>
      <w:r>
        <w:rPr/>
      </w:r>
    </w:p>
    <w:p>
      <w:pPr>
        <w:pStyle w:val="Normal"/>
        <w:jc w:val="both"/>
        <w:rPr>
          <w:u w:val="single"/>
        </w:rPr>
      </w:pPr>
      <w:r>
        <w:rPr>
          <w:u w:val="single"/>
        </w:rPr>
        <w:t>Indemnity</w:t>
      </w:r>
    </w:p>
    <w:p>
      <w:pPr>
        <w:pStyle w:val="Normal"/>
        <w:jc w:val="both"/>
        <w:rPr>
          <w:u w:val="single"/>
        </w:rPr>
      </w:pPr>
      <w:r>
        <w:rPr>
          <w:u w:val="single"/>
        </w:rPr>
      </w:r>
    </w:p>
    <w:p>
      <w:pPr>
        <w:pStyle w:val="Normal"/>
        <w:jc w:val="both"/>
        <w:rPr/>
      </w:pPr>
      <w:r>
        <w:rPr/>
        <w:t>32.</w:t>
        <w:tab/>
        <w:t>Indemnity issues</w:t>
      </w:r>
    </w:p>
    <w:p>
      <w:pPr>
        <w:pStyle w:val="Normal"/>
        <w:jc w:val="both"/>
        <w:rPr/>
      </w:pPr>
      <w:r>
        <w:rPr/>
      </w:r>
    </w:p>
    <w:p>
      <w:pPr>
        <w:pStyle w:val="Normal"/>
        <w:ind w:hanging="720" w:start="1440" w:end="0"/>
        <w:rPr/>
      </w:pPr>
      <w:r>
        <w:rPr/>
        <w:t>a.</w:t>
        <w:tab/>
        <w:t>double materiality issue resolved by applying indemnity claims in excess of $50,000 to the Deductible Amount without regard to knowledge or materiality qualifiers, until fully reduced</w:t>
      </w:r>
    </w:p>
    <w:p>
      <w:pPr>
        <w:pStyle w:val="Normal"/>
        <w:rPr/>
      </w:pPr>
      <w:r>
        <w:rPr/>
      </w:r>
    </w:p>
    <w:p>
      <w:pPr>
        <w:pStyle w:val="Normal"/>
        <w:ind w:hanging="720" w:start="1440" w:end="0"/>
        <w:rPr/>
      </w:pPr>
      <w:r>
        <w:rPr/>
        <w:t>b.</w:t>
        <w:tab/>
        <w:t>exceptions to Deductible and Cap - the listed sections seem to Buyer to be appropriate exceptions to the basket and cap</w:t>
      </w:r>
    </w:p>
    <w:p>
      <w:pPr>
        <w:pStyle w:val="Normal"/>
        <w:ind w:start="1440" w:end="0"/>
        <w:rPr/>
      </w:pPr>
      <w:r>
        <w:rPr/>
      </w:r>
    </w:p>
    <w:p>
      <w:pPr>
        <w:pStyle w:val="Normal"/>
        <w:ind w:hanging="720" w:start="1440" w:end="0"/>
        <w:rPr/>
      </w:pPr>
      <w:r>
        <w:rPr/>
        <w:t>c.</w:t>
        <w:tab/>
        <w:t>survival (claims period for indemnities) - general rule is 18 months; 2 year period for environmental rep; statute of limitations for certain other listed reps</w:t>
      </w:r>
    </w:p>
    <w:p>
      <w:pPr>
        <w:pStyle w:val="Normal"/>
        <w:ind w:hanging="720" w:start="720" w:end="0"/>
        <w:rPr/>
      </w:pPr>
      <w:r>
        <w:rPr/>
      </w:r>
    </w:p>
    <w:p>
      <w:pPr>
        <w:pStyle w:val="Normal"/>
        <w:ind w:hanging="720" w:start="720" w:end="0"/>
        <w:rPr/>
      </w:pPr>
      <w:r>
        <w:rPr/>
      </w:r>
    </w:p>
    <w:sectPr>
      <w:footerReference w:type="default" r:id="rId2"/>
      <w:footerReference w:type="first" r:id="rId3"/>
      <w:type w:val="nextPage"/>
      <w:pgSz w:w="12240" w:h="15840"/>
      <w:pgMar w:left="1440" w:right="1440" w:gutter="0" w:header="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HN 44106.2 04561 00374 12/7/00 2:55:50 PM</w:t>
    </w:r>
    <w:r>
      <w:rPr>
        <w:sz w:val="14"/>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HN 44106.2 04561 00374 12/7/00 2:55:50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tabs>
        <w:tab w:val="clear" w:pos="720"/>
      </w:tabs>
      <w:ind w:hanging="360" w:start="720" w:end="0"/>
      <w:outlineLvl w:val="1"/>
    </w:pPr>
    <w:rPr/>
  </w:style>
  <w:style w:type="paragraph" w:styleId="Heading3">
    <w:name w:val="heading 3"/>
    <w:basedOn w:val="Normal"/>
    <w:next w:val="Normal"/>
    <w:qFormat/>
    <w:pPr>
      <w:numPr>
        <w:ilvl w:val="2"/>
        <w:numId w:val="1"/>
      </w:numPr>
      <w:tabs>
        <w:tab w:val="clear" w:pos="720"/>
      </w:tabs>
      <w:ind w:hanging="360" w:start="1080" w:end="0"/>
      <w:outlineLvl w:val="2"/>
    </w:pPr>
    <w:rPr/>
  </w:style>
  <w:style w:type="paragraph" w:styleId="Heading4">
    <w:name w:val="heading 4"/>
    <w:basedOn w:val="Normal"/>
    <w:next w:val="Normal"/>
    <w:qFormat/>
    <w:pPr>
      <w:numPr>
        <w:ilvl w:val="3"/>
        <w:numId w:val="1"/>
      </w:numPr>
      <w:tabs>
        <w:tab w:val="clear" w:pos="720"/>
      </w:tabs>
      <w:ind w:hanging="360" w:start="1440" w:end="0"/>
      <w:outlineLvl w:val="3"/>
    </w:pPr>
    <w:rPr/>
  </w:style>
  <w:style w:type="paragraph" w:styleId="Heading5">
    <w:name w:val="heading 5"/>
    <w:basedOn w:val="Normal"/>
    <w:next w:val="Normal"/>
    <w:qFormat/>
    <w:pPr>
      <w:numPr>
        <w:ilvl w:val="4"/>
        <w:numId w:val="1"/>
      </w:numPr>
      <w:tabs>
        <w:tab w:val="clear" w:pos="720"/>
      </w:tabs>
      <w:ind w:hanging="360" w:start="1800" w:end="0"/>
      <w:outlineLvl w:val="4"/>
    </w:pPr>
    <w:rPr/>
  </w:style>
  <w:style w:type="paragraph" w:styleId="Heading6">
    <w:name w:val="heading 6"/>
    <w:basedOn w:val="Normal"/>
    <w:next w:val="Normal"/>
    <w:qFormat/>
    <w:pPr>
      <w:numPr>
        <w:ilvl w:val="5"/>
        <w:numId w:val="1"/>
      </w:numPr>
      <w:tabs>
        <w:tab w:val="clear" w:pos="720"/>
      </w:tabs>
      <w:ind w:hanging="360" w:start="2160" w:end="0"/>
      <w:outlineLvl w:val="5"/>
    </w:pPr>
    <w:rPr/>
  </w:style>
  <w:style w:type="paragraph" w:styleId="Heading7">
    <w:name w:val="heading 7"/>
    <w:basedOn w:val="Normal"/>
    <w:next w:val="Normal"/>
    <w:qFormat/>
    <w:pPr>
      <w:numPr>
        <w:ilvl w:val="6"/>
        <w:numId w:val="1"/>
      </w:numPr>
      <w:tabs>
        <w:tab w:val="clear" w:pos="720"/>
      </w:tabs>
      <w:ind w:hanging="360" w:start="2520" w:end="0"/>
      <w:outlineLvl w:val="6"/>
    </w:pPr>
    <w:rPr/>
  </w:style>
  <w:style w:type="paragraph" w:styleId="Heading8">
    <w:name w:val="heading 8"/>
    <w:basedOn w:val="Normal"/>
    <w:next w:val="Normal"/>
    <w:qFormat/>
    <w:pPr>
      <w:numPr>
        <w:ilvl w:val="7"/>
        <w:numId w:val="1"/>
      </w:numPr>
      <w:tabs>
        <w:tab w:val="clear" w:pos="720"/>
      </w:tabs>
      <w:ind w:hanging="360" w:start="2880" w:end="0"/>
      <w:outlineLvl w:val="7"/>
    </w:pPr>
    <w:rPr/>
  </w:style>
  <w:style w:type="paragraph" w:styleId="Heading9">
    <w:name w:val="heading 9"/>
    <w:basedOn w:val="Normal"/>
    <w:next w:val="Normal"/>
    <w:qFormat/>
    <w:pPr>
      <w:numPr>
        <w:ilvl w:val="8"/>
        <w:numId w:val="1"/>
      </w:numPr>
      <w:tabs>
        <w:tab w:val="clear" w:pos="720"/>
      </w:tabs>
      <w:ind w:hanging="360" w:start="3240" w:end="0"/>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2000-12-07T11:40:00Z</dcterms:created>
  <dc:creator>LeBoeuf, Lamb, Greene &amp; MacRae, L.L.P.</dc:creator>
  <dc:description/>
  <cp:keywords>HN 44106.2 04561 00374 12/7/00 2:55:50 PM</cp:keywords>
  <dc:language>en-CA</dc:language>
  <cp:lastModifiedBy>LeBoeuf, Lamb, Greene &amp; MacRae, L.L.P.</cp:lastModifiedBy>
  <cp:lastPrinted>2000-12-07T14:55:00Z</cp:lastPrinted>
  <dcterms:modified xsi:type="dcterms:W3CDTF">2000-12-07T18:25:00Z</dcterms:modified>
  <cp:revision>47</cp:revision>
  <dc:subject/>
  <dc:title>LEBOEUF, LAMB, GREENE &amp; MACRAE</dc:title>
</cp:coreProperties>
</file>