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u w:val="single"/>
        </w:rPr>
      </w:pPr>
      <w:r>
        <w:rPr>
          <w:b/>
          <w:u w:val="single"/>
        </w:rPr>
        <w:t>Primary and Secondary Receipt Point Access Rights</w:t>
      </w:r>
    </w:p>
    <w:p>
      <w:pPr>
        <w:pStyle w:val="Normal"/>
        <w:rPr>
          <w:b/>
          <w:sz w:val="24"/>
          <w:u w:val="single"/>
        </w:rPr>
      </w:pPr>
      <w:r>
        <w:rPr>
          <w:b/>
          <w:sz w:val="24"/>
          <w:u w:val="single"/>
        </w:rPr>
      </w:r>
    </w:p>
    <w:p>
      <w:pPr>
        <w:pStyle w:val="BodyText"/>
        <w:rPr/>
      </w:pPr>
      <w:r>
        <w:rPr/>
        <w:t>All receipt points into the SoCalGas system will have defined firm capacity and primary access rights that reflect physical limitations.  If more than one upstream pipeline interconnects into a specific SoCalGas receipt point, secondary access rights will also be defined.  SoCalGas will also offer interruptible capacity to the extent that it is operationally available.  Interruptible capacity is defined as capacity above and beyond the stated firm capacity at any given receipt point, or unutilized firm capacity that is held by other parties.  Interruptible capacity will be subject to bumping.  The following table identifies the firm capacity, the primary access rights, and secondary access rights for all existing receipt points on the SoCalGas system.</w:t>
      </w:r>
    </w:p>
    <w:p>
      <w:pPr>
        <w:pStyle w:val="Normal"/>
        <w:rPr>
          <w:sz w:val="24"/>
        </w:rPr>
      </w:pPr>
      <w:r>
        <w:rPr>
          <w:sz w:val="24"/>
        </w:rPr>
      </w:r>
    </w:p>
    <w:p>
      <w:pPr>
        <w:pStyle w:val="Heading2"/>
        <w:ind w:hanging="0" w:start="0"/>
        <w:rPr/>
      </w:pPr>
      <w:r>
        <w:rPr/>
        <w:t>Primary &amp; Secondary Access Rights on the SoCalGas System</w:t>
      </w:r>
    </w:p>
    <w:tbl>
      <w:tblPr>
        <w:tblW w:w="8460" w:type="dxa"/>
        <w:jc w:val="start"/>
        <w:tblInd w:w="198" w:type="dxa"/>
        <w:tblLayout w:type="fixed"/>
        <w:tblCellMar>
          <w:top w:w="0" w:type="dxa"/>
          <w:start w:w="108" w:type="dxa"/>
          <w:bottom w:w="0" w:type="dxa"/>
          <w:end w:w="108" w:type="dxa"/>
        </w:tblCellMar>
      </w:tblPr>
      <w:tblGrid>
        <w:gridCol w:w="2430"/>
        <w:gridCol w:w="1620"/>
        <w:gridCol w:w="2070"/>
        <w:gridCol w:w="2340"/>
      </w:tblGrid>
      <w:tr>
        <w:trPr/>
        <w:tc>
          <w:tcPr>
            <w:tcW w:w="243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Receipt Point</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Firm Receipt Point Capacity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Primary Access  Rights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b/>
                <w:sz w:val="24"/>
              </w:rPr>
              <w:t>Secondary Access Rights</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Blythe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1210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El Paso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Topock</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540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El Paso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TW</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Needles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TW</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Mojave at Hector Rd.</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Hector Rd.</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Mojave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TW at No. Needles </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Wheeler Ridge (north)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K/M, PG&amp;E, or OXY</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 </w:t>
            </w: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Wheeler Ridge (south)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160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Kern-Mojave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PG&amp;E or OXY</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Line 85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Calif. supplies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North Coastal</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Calif. supplies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bl>
    <w:p>
      <w:pPr>
        <w:pStyle w:val="Normal"/>
        <w:rPr>
          <w:sz w:val="24"/>
        </w:rPr>
      </w:pPr>
      <w:r>
        <w:rPr>
          <w:sz w:val="24"/>
        </w:rPr>
        <w:t xml:space="preserve"> </w:t>
      </w:r>
    </w:p>
    <w:p>
      <w:pPr>
        <w:pStyle w:val="Heading3"/>
        <w:ind w:hanging="0" w:start="0"/>
        <w:rPr/>
      </w:pPr>
      <w:r>
        <w:rPr/>
        <w:t>Scheduling Priority</w:t>
      </w:r>
    </w:p>
    <w:p>
      <w:pPr>
        <w:pStyle w:val="BodyText"/>
        <w:rPr/>
      </w:pPr>
      <w:r>
        <w:rPr/>
        <w:t xml:space="preserve">All capacity sold in the open season will be firm at the stated receipt points.  </w:t>
      </w:r>
      <w:r>
        <w:rPr>
          <w:lang w:eastAsia="en-US"/>
        </w:rPr>
        <w:t xml:space="preserve">Any unsubscribed firm capacity can be marketed by SCG as firm capacity on a short-term or long-term basis, and will have equal scheduling priority with all other firm capacity reserved through the open season.  </w:t>
      </w:r>
      <w:r>
        <w:rPr/>
        <w:t xml:space="preserve">Volumes scheduled with firm primary access rights will have first priority, followed by firm secondary access rights for deliveries to that same receipt point, followed by volumes using interruptible capacity rights.  Firm primary rights can “bump” volumes scheduled with secondary rights or interruptible rights through the third scheduling cycle.  Firm secondary rights will have priority over volumes scheduled with interruptible capacity rights through the third scheduling cycle. Bumping will not be allowed in the last cycle per GISB Rule 1.3.2.  Scheduling of interruptible capacity will be prioritized by price.  The mechanism for selling interruptible capacity will be through negotiations similar to the PG&amp;E system with negotiated information being made available in monthly reports. </w:t>
      </w:r>
    </w:p>
    <w:p>
      <w:pPr>
        <w:pStyle w:val="BodyText"/>
        <w:rPr/>
      </w:pPr>
      <w:r>
        <w:rPr/>
      </w:r>
    </w:p>
    <w:p>
      <w:pPr>
        <w:pStyle w:val="BodyText"/>
        <w:rPr/>
      </w:pPr>
      <w:r>
        <w:rPr/>
        <w:t xml:space="preserve">Example for North Needles: Volumes scheduled at North Needles with firm primary access rights (long-term or short-term) via TW will have first priority through the third scheduling cycle. Volumes scheduled at North Needles with firm secondary rights via Hector Road will have second priority through the third scheduling cycle.  Volumes scheduled with interruptible capacity rights at North Needles will have third priority.  </w:t>
      </w:r>
    </w:p>
    <w:p>
      <w:pPr>
        <w:pStyle w:val="BodyText"/>
        <w:rPr>
          <w:u w:val="single"/>
        </w:rPr>
      </w:pPr>
      <w:r>
        <w:rPr>
          <w:u w:val="single"/>
        </w:rPr>
        <w:t>New or Expanded Interconnections with Existing or New Pipelines</w:t>
      </w:r>
    </w:p>
    <w:p>
      <w:pPr>
        <w:pStyle w:val="BodyText"/>
        <w:rPr/>
      </w:pPr>
      <w:r>
        <w:rPr/>
        <w:t>All new or expanded interconnections will have secondary access rights only, and will be subject to bumping by gas scheduled through primary access points.</w:t>
      </w:r>
    </w:p>
    <w:p>
      <w:pPr>
        <w:pStyle w:val="BodyText"/>
        <w:rPr>
          <w:u w:val="single"/>
        </w:rPr>
      </w:pPr>
      <w:r>
        <w:rPr>
          <w:u w:val="single"/>
        </w:rPr>
      </w:r>
    </w:p>
    <w:p>
      <w:pPr>
        <w:pStyle w:val="BodyText"/>
        <w:rPr>
          <w:u w:val="single"/>
        </w:rPr>
      </w:pPr>
      <w:r>
        <w:rPr>
          <w:u w:val="single"/>
        </w:rPr>
        <w:t xml:space="preserve"> </w:t>
      </w:r>
      <w:r>
        <w:rPr>
          <w:u w:val="single"/>
        </w:rPr>
        <w:t>Notes on Primary-Secondary Rights:</w:t>
      </w:r>
    </w:p>
    <w:p>
      <w:pPr>
        <w:pStyle w:val="Normal"/>
        <w:ind w:end="-720"/>
        <w:rPr>
          <w:sz w:val="24"/>
        </w:rPr>
      </w:pPr>
      <w:r>
        <w:rPr>
          <w:sz w:val="24"/>
        </w:rPr>
      </w:r>
    </w:p>
    <w:p>
      <w:pPr>
        <w:pStyle w:val="BodyText2"/>
        <w:rPr/>
      </w:pPr>
      <w:r>
        <w:rPr>
          <w:u w:val="single"/>
        </w:rPr>
        <w:t>Blythe</w:t>
      </w:r>
      <w:r>
        <w:rPr/>
        <w:t xml:space="preserve"> – Blythe shippers have primary access rights via El Paso.  No secondary access rights are available since there is no other interconnecting pipeline.  </w:t>
      </w:r>
    </w:p>
    <w:p>
      <w:pPr>
        <w:pStyle w:val="Normal"/>
        <w:ind w:end="-720"/>
        <w:rPr>
          <w:sz w:val="24"/>
        </w:rPr>
      </w:pPr>
      <w:r>
        <w:rPr>
          <w:sz w:val="24"/>
        </w:rPr>
      </w:r>
    </w:p>
    <w:p>
      <w:pPr>
        <w:pStyle w:val="Normal"/>
        <w:ind w:end="-720"/>
        <w:rPr/>
      </w:pPr>
      <w:r>
        <w:rPr>
          <w:sz w:val="24"/>
          <w:u w:val="single"/>
        </w:rPr>
        <w:t>Topock</w:t>
      </w:r>
      <w:r>
        <w:rPr>
          <w:sz w:val="24"/>
        </w:rPr>
        <w:t xml:space="preserve"> – Topock shippers have primary access rights via El Paso.   Topock shippers via TW have secondary access rights at this point. </w:t>
      </w:r>
    </w:p>
    <w:p>
      <w:pPr>
        <w:pStyle w:val="Normal"/>
        <w:ind w:end="-720"/>
        <w:rPr>
          <w:sz w:val="24"/>
        </w:rPr>
      </w:pPr>
      <w:r>
        <w:rPr>
          <w:sz w:val="24"/>
        </w:rPr>
      </w:r>
    </w:p>
    <w:p>
      <w:pPr>
        <w:pStyle w:val="Normal"/>
        <w:ind w:end="-720"/>
        <w:rPr/>
      </w:pPr>
      <w:r>
        <w:rPr>
          <w:sz w:val="24"/>
          <w:u w:val="single"/>
        </w:rPr>
        <w:t>North Needles</w:t>
      </w:r>
      <w:r>
        <w:rPr>
          <w:sz w:val="24"/>
        </w:rPr>
        <w:t xml:space="preserve"> – North Needles shippers have primary access rights via TW.   North Needles shippers have secondary access rights at Hector Road via Mojave up to the capacity of the Hector Road interconnection. </w:t>
      </w:r>
    </w:p>
    <w:p>
      <w:pPr>
        <w:pStyle w:val="Normal"/>
        <w:ind w:end="-720"/>
        <w:rPr>
          <w:sz w:val="24"/>
        </w:rPr>
      </w:pPr>
      <w:r>
        <w:rPr>
          <w:sz w:val="24"/>
        </w:rPr>
      </w:r>
    </w:p>
    <w:p>
      <w:pPr>
        <w:pStyle w:val="Normal"/>
        <w:ind w:end="-720"/>
        <w:rPr/>
      </w:pPr>
      <w:r>
        <w:rPr>
          <w:sz w:val="24"/>
          <w:u w:val="single"/>
        </w:rPr>
        <w:t>Hector Road</w:t>
      </w:r>
      <w:r>
        <w:rPr>
          <w:sz w:val="24"/>
        </w:rPr>
        <w:t xml:space="preserve"> – Hector Road shippers have primary access rights via Mojave.  Hector Road shippers have secondary access rights at North Needles via TW. </w:t>
      </w:r>
    </w:p>
    <w:p>
      <w:pPr>
        <w:pStyle w:val="Normal"/>
        <w:ind w:end="-720"/>
        <w:rPr>
          <w:sz w:val="24"/>
        </w:rPr>
      </w:pPr>
      <w:r>
        <w:rPr>
          <w:sz w:val="24"/>
        </w:rPr>
      </w:r>
    </w:p>
    <w:p>
      <w:pPr>
        <w:pStyle w:val="Normal"/>
        <w:ind w:end="-720"/>
        <w:rPr/>
      </w:pPr>
      <w:r>
        <w:rPr>
          <w:sz w:val="24"/>
          <w:u w:val="single"/>
        </w:rPr>
        <w:t>Line 85 &amp; North Coastal</w:t>
      </w:r>
      <w:r>
        <w:rPr>
          <w:sz w:val="24"/>
        </w:rPr>
        <w:t xml:space="preserve"> – Primary access rights are used to deliver on-system California supplies.  There are no secondary rights available.  </w:t>
      </w:r>
    </w:p>
    <w:p>
      <w:pPr>
        <w:pStyle w:val="Normal"/>
        <w:ind w:end="-720"/>
        <w:rPr>
          <w:sz w:val="24"/>
        </w:rPr>
      </w:pPr>
      <w:r>
        <w:rPr>
          <w:sz w:val="24"/>
        </w:rPr>
      </w:r>
    </w:p>
    <w:p>
      <w:pPr>
        <w:pStyle w:val="Normal"/>
        <w:ind w:end="-900"/>
        <w:rPr/>
      </w:pPr>
      <w:r>
        <w:rPr>
          <w:sz w:val="24"/>
          <w:u w:val="single"/>
        </w:rPr>
        <w:t>Wheeler Ridge</w:t>
      </w:r>
      <w:r>
        <w:rPr>
          <w:sz w:val="24"/>
        </w:rPr>
        <w:t xml:space="preserve"> – Primary access rights are shared by several upstream suppliers including: PG&amp;E, Kern-Mojave, and OXY.  (A few much smaller producers also enter the north end of Line 225.)  The total firm capacity of Wheeler Ridge is 680 MMcf/day if at least 160 Mmcfd is being delivered from Kern-Mojave.  Thus, a maximum total of 520 MMcfd can be taken on a firm basis in the north from PG&amp;E or OXY.   This north-south split occurs because all suppliers, other than Kern-Mojave, deliver gas into the Line 225 system 20-30 miles north of Wheeler Ridge.   If total deliveries greater than 520 MMcf/d are taken in the north from PG&amp;E or OXY on any given day, the total capacity of Wheeler Ridge will drop below 680 MMcf/d.  Due to this physical reality, capacity at Wheeler Ridge is being separated into two distinct packages.  The first package (A), 520 MMcf/day, has primary rights from any combination of  K/M, PG&amp;E, or OXY.   The second package (B), 160 MMcfd, can have primary access rights at Wheeler Ridge from K/M only, and secondary rights from PG&amp;E or OXY. </w:t>
      </w:r>
    </w:p>
    <w:p>
      <w:pPr>
        <w:pStyle w:val="Normal"/>
        <w:ind w:end="-900"/>
        <w:rPr>
          <w:sz w:val="24"/>
        </w:rPr>
      </w:pPr>
      <w:r>
        <w:rPr>
          <w:sz w:val="24"/>
        </w:rPr>
      </w:r>
    </w:p>
    <w:p>
      <w:pPr>
        <w:pStyle w:val="BodyText3"/>
        <w:ind w:end="-720"/>
        <w:rPr>
          <w:color w:val="auto"/>
        </w:rPr>
      </w:pPr>
      <w:r>
        <w:rPr>
          <w:color w:val="auto"/>
        </w:rPr>
        <w:t>Capacity that may be available above the 680 MMcf/day is considered interruptible capacity.  This capacity may be available via K/M, OXY, or PG&amp;E subject to the use of firm capacity and operational constraints.  For example: On a given day assume that a total of 750 MMcfd is available at Wheeler Ridge and that volumes are scheduled as follows: 300 MMcfd via Mojave, 100 MMcfd via OXY, and 350 MMcfd via PG&amp;E.   Since the total deliveries from PG&amp;E and OXY are less than 520 MMcfd,  the 70 MMcfd of as-available capacity can be scheduled through any of the primary receipt points.   However, an operational constraint can develop if the total deliveries from OXY and PG&amp;E exceed 520 MMcfd, in which case, the interruptible capacity is only available via Kern-Mojave.</w:t>
      </w:r>
      <w:r>
        <w:br w:type="page"/>
      </w:r>
    </w:p>
    <w:p>
      <w:pPr>
        <w:pStyle w:val="Normal"/>
        <w:ind w:end="-360"/>
        <w:rPr>
          <w:sz w:val="24"/>
          <w:u w:val="single"/>
        </w:rPr>
      </w:pPr>
      <w:r>
        <w:rPr>
          <w:sz w:val="24"/>
          <w:u w:val="single"/>
        </w:rPr>
        <w:t>Other Issues:</w:t>
      </w:r>
    </w:p>
    <w:p>
      <w:pPr>
        <w:pStyle w:val="Normal"/>
        <w:ind w:end="-360"/>
        <w:rPr>
          <w:sz w:val="24"/>
          <w:u w:val="single"/>
        </w:rPr>
      </w:pPr>
      <w:r>
        <w:rPr>
          <w:sz w:val="24"/>
          <w:u w:val="single"/>
        </w:rPr>
      </w:r>
    </w:p>
    <w:p>
      <w:pPr>
        <w:pStyle w:val="BodyText"/>
        <w:rPr>
          <w:u w:val="single"/>
        </w:rPr>
      </w:pPr>
      <w:r>
        <w:rPr>
          <w:u w:val="single"/>
        </w:rPr>
        <w:t>California Producers</w:t>
      </w:r>
    </w:p>
    <w:p>
      <w:pPr>
        <w:pStyle w:val="BodyText"/>
        <w:rPr/>
      </w:pPr>
      <w:r>
        <w:rPr/>
        <w:t>Existing on-system California producers can obtain up to 100% of the North Coastal and Line 85 receipt point capacity rights based on their historic deliveries.  All other existing California producers not connected to the Line 85 or North Coastal systems will be given primary access to the SoCalGas system up to 100% of their historic deliveries at the existing individual meter locations.  These small volumes will be subject to the backbone and local transmission charges.</w:t>
      </w:r>
    </w:p>
    <w:p>
      <w:pPr>
        <w:pStyle w:val="Normal"/>
        <w:ind w:end="-360"/>
        <w:rPr>
          <w:sz w:val="24"/>
          <w:u w:val="single"/>
        </w:rPr>
      </w:pPr>
      <w:r>
        <w:rPr>
          <w:sz w:val="24"/>
          <w:u w:val="single"/>
        </w:rPr>
      </w:r>
    </w:p>
    <w:p>
      <w:pPr>
        <w:pStyle w:val="Normal"/>
        <w:ind w:end="-360"/>
        <w:rPr/>
      </w:pPr>
      <w:r>
        <w:rPr>
          <w:sz w:val="24"/>
          <w:u w:val="single"/>
        </w:rPr>
        <w:t>On-System Deliveries</w:t>
      </w:r>
      <w:r>
        <w:rPr>
          <w:sz w:val="24"/>
        </w:rPr>
        <w:t xml:space="preserve">  - Customers/shippers can use firm primary or secondary receipt point capacity rights, or interruptible capacity to deliver gas to any on-system customer.  On-system includes all deliveries made to any retail, wholesale, transport customer, or storage field within SoCalGas’ service territory including deliveries made to SDG&amp;E, Rosarito, and Mexicali. </w:t>
      </w:r>
    </w:p>
    <w:p>
      <w:pPr>
        <w:pStyle w:val="Normal"/>
        <w:ind w:end="-360"/>
        <w:rPr>
          <w:sz w:val="24"/>
        </w:rPr>
      </w:pPr>
      <w:r>
        <w:rPr>
          <w:sz w:val="24"/>
        </w:rPr>
      </w:r>
    </w:p>
    <w:p>
      <w:pPr>
        <w:pStyle w:val="Normal"/>
        <w:ind w:end="-360"/>
        <w:rPr/>
      </w:pPr>
      <w:r>
        <w:rPr>
          <w:sz w:val="24"/>
          <w:u w:val="single"/>
        </w:rPr>
        <w:t>Off-system Deliveries</w:t>
      </w:r>
      <w:r>
        <w:rPr>
          <w:sz w:val="24"/>
        </w:rPr>
        <w:t xml:space="preserve"> – Off-system deliveries are a separate interruptible service that will be subject to a separate charge up to 120% of the backbone transportation rate.  Off-system deliveries will be subject to operational limitations, and in most cases will be limited to the extent that displacement is available.  (For example:  If a Wheeler Ridge shipper wants to deliver gas to TW at North Needles, there must be an equal or greater amount of gas being scheduled to SoCalGas from other parties at North Needles.)  Off-system deliveries include deliveries made from one receipt point to another receipt point including:  Blythe, South Needles, North Needles, Hector Road, and Wheeler Ridge. (Wheeler Ridge includes the PG&amp;E interconnection at Kern River Station.)   Off-system deliveries also include deliveries made from SoCalGas’ storage fields to any of the receipt points for off-system use.  Off-system deliveries can also be made from on-system California producers to other receipt points, but can not be made from other receipt points to on-system California producers. </w:t>
      </w:r>
    </w:p>
    <w:p>
      <w:pPr>
        <w:pStyle w:val="Normal"/>
        <w:ind w:end="-360"/>
        <w:rPr>
          <w:sz w:val="24"/>
        </w:rPr>
      </w:pPr>
      <w:r>
        <w:rPr>
          <w:sz w:val="24"/>
        </w:rPr>
      </w:r>
    </w:p>
    <w:p>
      <w:pPr>
        <w:pStyle w:val="Normal"/>
        <w:ind w:end="-360"/>
        <w:rPr>
          <w:sz w:val="24"/>
        </w:rPr>
      </w:pPr>
      <w:r>
        <w:rPr>
          <w:sz w:val="24"/>
        </w:rPr>
        <w:t>As an alternative, off-system deliveries can become part of Gas Operations Hub services with prices subject to negotiation.  Receipt point to receipt point transactions will be considered wheeling transactions, and storage field to receipt point transactions will be considered Hub transactions.  Transactions will be prioritized by price.</w:t>
      </w:r>
    </w:p>
    <w:p>
      <w:pPr>
        <w:pStyle w:val="Normal"/>
        <w:ind w:end="-360"/>
        <w:rPr>
          <w:sz w:val="24"/>
        </w:rPr>
      </w:pPr>
      <w:r>
        <w:rPr>
          <w:sz w:val="24"/>
        </w:rPr>
      </w:r>
    </w:p>
    <w:p>
      <w:pPr>
        <w:pStyle w:val="Normal"/>
        <w:ind w:end="-360"/>
        <w:rPr/>
      </w:pPr>
      <w:r>
        <w:rPr>
          <w:sz w:val="24"/>
          <w:u w:val="single"/>
        </w:rPr>
        <w:t>SDG&amp;E &amp; Edison Rights at Wheeler Ridge</w:t>
      </w:r>
      <w:r>
        <w:rPr>
          <w:sz w:val="24"/>
        </w:rPr>
        <w:t xml:space="preserve"> – </w:t>
      </w:r>
      <w:r>
        <w:rPr>
          <w:sz w:val="24"/>
          <w:lang w:eastAsia="en-US"/>
        </w:rPr>
        <w:t>This subject is addressed in the main text of the Settlement Agreement in Section 1.1.3.6.6.  In summary, the Edison agreement will be cancelled on October 1, 2001, and the SDG&amp;E agreement will be suspended from October 1, 2001, through the remainder of the term of the Settlement Agreement.</w:t>
      </w:r>
    </w:p>
    <w:sectPr>
      <w:headerReference w:type="default" r:id="rId2"/>
      <w:footerReference w:type="default" r:id="rId3"/>
      <w:type w:val="nextPage"/>
      <w:pgSz w:w="12240" w:h="15840"/>
      <w:pgMar w:left="1800" w:right="1800" w:gutter="0" w:header="720" w:top="129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u w:val="single"/>
      </w:rPr>
    </w:pPr>
    <w:r>
      <w:rPr>
        <w:b/>
        <w:sz w:val="24"/>
        <w:u w:val="single"/>
      </w:rPr>
      <w:t>CONFIDENTIAL         For GIR Settlement Discussions Only</w:t>
      <w:tab/>
      <w:t>April 17, 2000</w:t>
    </w:r>
  </w:p>
  <w:p>
    <w:pPr>
      <w:pStyle w:val="Heading"/>
      <w:rPr/>
    </w:pPr>
    <w:r>
      <w:rPr/>
      <w:t>Appendix B</w:t>
    </w:r>
  </w:p>
  <w:p>
    <w:pPr>
      <w:pStyle w:val="Heading"/>
      <w:rPr>
        <w:b w:val="false"/>
      </w:rPr>
    </w:pPr>
    <w:r>
      <w:rPr>
        <w:b w:val="fals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before="0" w:after="120"/>
      <w:jc w:val="center"/>
      <w:outlineLvl w:val="1"/>
    </w:pPr>
    <w:rPr>
      <w:b/>
      <w:sz w:val="24"/>
      <w:u w:val="single"/>
    </w:rPr>
  </w:style>
  <w:style w:type="paragraph" w:styleId="Heading3">
    <w:name w:val="heading 3"/>
    <w:basedOn w:val="Normal"/>
    <w:next w:val="Normal"/>
    <w:qFormat/>
    <w:pPr>
      <w:keepNext w:val="true"/>
      <w:numPr>
        <w:ilvl w:val="2"/>
        <w:numId w:val="1"/>
      </w:numPr>
      <w:outlineLvl w:val="2"/>
    </w:pPr>
    <w:rPr>
      <w:sz w:val="24"/>
      <w:u w:val="single"/>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pPr>
    <w:rPr>
      <w:sz w:val="24"/>
    </w:rPr>
  </w:style>
  <w:style w:type="paragraph" w:styleId="BodyText3">
    <w:name w:val="Body Text 3"/>
    <w:basedOn w:val="Normal"/>
    <w:qFormat/>
    <w:pPr>
      <w:ind w:hanging="0" w:start="0" w:end="-900"/>
    </w:pPr>
    <w:rPr>
      <w:color w:val="FF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2000-04-17T21:28:00Z</dcterms:created>
  <dc:creator>Joel Mumford</dc:creator>
  <dc:description/>
  <dc:language>en-CA</dc:language>
  <cp:lastModifiedBy>Sempra Energy</cp:lastModifiedBy>
  <cp:lastPrinted>2000-04-17T15:20:00Z</cp:lastPrinted>
  <dcterms:modified xsi:type="dcterms:W3CDTF">2000-04-17T21:28:00Z</dcterms:modified>
  <cp:revision>2</cp:revision>
  <dc:subject/>
  <dc:title>Primary and Secondary Receipt Point Access Rights</dc:title>
</cp:coreProperties>
</file>