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Phone (713) 853-3300</w:t>
            </w:r>
          </w:p>
          <w:p>
            <w:pPr>
              <w:pStyle w:val="Normal"/>
              <w:tabs>
                <w:tab w:val="clear" w:pos="720"/>
                <w:tab w:val="left" w:pos="2412" w:leader="none"/>
              </w:tabs>
              <w:ind w:start="1962" w:end="0"/>
              <w:rPr>
                <w:i/>
                <w:i/>
                <w:sz w:val="22"/>
              </w:rPr>
            </w:pPr>
            <w:r>
              <w:rPr>
                <w:i/>
                <w:sz w:val="22"/>
              </w:rPr>
              <w:t>Fax (713) 646-4816</w:t>
            </w:r>
          </w:p>
          <w:p>
            <w:pPr>
              <w:pStyle w:val="Normal"/>
              <w:tabs>
                <w:tab w:val="clear" w:pos="720"/>
                <w:tab w:val="left" w:pos="2412" w:leader="none"/>
              </w:tabs>
              <w:ind w:start="1962" w:end="0"/>
              <w:rPr>
                <w:i/>
                <w:i/>
                <w:sz w:val="22"/>
              </w:rPr>
            </w:pPr>
            <w:r>
              <w:rPr>
                <w:i/>
                <w:sz w:val="22"/>
              </w:rPr>
            </w:r>
          </w:p>
        </w:tc>
      </w:tr>
    </w:tbl>
    <w:p>
      <w:pPr>
        <w:pStyle w:val="Normal"/>
        <w:widowControl/>
        <w:jc w:val="center"/>
        <w:rPr>
          <w:sz w:val="22"/>
        </w:rPr>
      </w:pPr>
      <w:r>
        <w:rPr>
          <w:sz w:val="22"/>
        </w:rPr>
      </w:r>
    </w:p>
    <w:p>
      <w:pPr>
        <w:pStyle w:val="Normal"/>
        <w:widowControl/>
        <w:jc w:val="center"/>
        <w:rPr>
          <w:b/>
          <w:sz w:val="22"/>
        </w:rPr>
      </w:pPr>
      <w:r>
        <w:rPr>
          <w:b/>
          <w:sz w:val="22"/>
          <w:u w:val="single"/>
        </w:rPr>
        <w:t>CONFIRMATION OF AN OPTION</w:t>
      </w:r>
    </w:p>
    <w:p>
      <w:pPr>
        <w:pStyle w:val="Normal"/>
        <w:widowControl/>
        <w:jc w:val="center"/>
        <w:rPr>
          <w:b/>
          <w:sz w:val="22"/>
        </w:rPr>
      </w:pPr>
      <w:r>
        <w:rPr>
          <w:b/>
          <w:sz w:val="22"/>
        </w:rPr>
        <w:t>(Call Option)</w:t>
      </w:r>
    </w:p>
    <w:p>
      <w:pPr>
        <w:pStyle w:val="Normal"/>
        <w:widowControl/>
        <w:rPr>
          <w:b/>
          <w:sz w:val="22"/>
        </w:rPr>
      </w:pPr>
      <w:r>
        <w:rPr>
          <w:b/>
          <w:sz w:val="22"/>
        </w:rPr>
      </w:r>
    </w:p>
    <w:p>
      <w:pPr>
        <w:pStyle w:val="Normal"/>
        <w:widowControl/>
        <w:rPr>
          <w:sz w:val="22"/>
        </w:rPr>
      </w:pPr>
      <w:r>
        <w:rPr>
          <w:sz w:val="22"/>
        </w:rPr>
        <w:t>Date:</w:t>
        <w:tab/>
        <w:tab/>
        <w:tab/>
        <w:tab/>
        <w:t>July 13, 2000</w:t>
      </w:r>
    </w:p>
    <w:p>
      <w:pPr>
        <w:pStyle w:val="Normal"/>
        <w:rPr/>
      </w:pPr>
      <w:r>
        <w:rPr>
          <w:sz w:val="22"/>
        </w:rPr>
        <w:t>To:</w:t>
        <w:tab/>
        <w:tab/>
        <w:tab/>
        <w:tab/>
      </w:r>
      <w:r>
        <w:rPr/>
        <w:t xml:space="preserve">Pride International, Inc. </w:t>
      </w:r>
      <w:r>
        <w:rPr>
          <w:sz w:val="22"/>
        </w:rPr>
        <w:t>("Counterparty")</w:t>
      </w:r>
    </w:p>
    <w:p>
      <w:pPr>
        <w:pStyle w:val="Normal"/>
        <w:widowControl/>
        <w:rPr>
          <w:sz w:val="22"/>
        </w:rPr>
      </w:pPr>
      <w:r>
        <w:rPr>
          <w:sz w:val="22"/>
        </w:rPr>
        <w:t>Attention:</w:t>
        <w:tab/>
        <w:tab/>
        <w:tab/>
      </w:r>
      <w:r>
        <w:rPr/>
        <w:t>Mr. Paul A. Bragg</w:t>
      </w:r>
    </w:p>
    <w:p>
      <w:pPr>
        <w:pStyle w:val="Normal"/>
        <w:widowControl/>
        <w:rPr>
          <w:sz w:val="22"/>
        </w:rPr>
      </w:pPr>
      <w:r>
        <w:rPr>
          <w:sz w:val="22"/>
        </w:rPr>
        <w:t>Fax No.:</w:t>
        <w:tab/>
        <w:tab/>
        <w:tab/>
      </w:r>
    </w:p>
    <w:p>
      <w:pPr>
        <w:pStyle w:val="Normal"/>
        <w:widowControl/>
        <w:rPr>
          <w:sz w:val="22"/>
        </w:rPr>
      </w:pPr>
      <w:r>
        <w:rPr>
          <w:sz w:val="22"/>
        </w:rPr>
        <w:t>From:</w:t>
        <w:tab/>
        <w:tab/>
        <w:tab/>
        <w:tab/>
        <w:t>Enron North America Corp. (“ENA”)</w:t>
      </w:r>
    </w:p>
    <w:p>
      <w:pPr>
        <w:pStyle w:val="Normal"/>
        <w:widowControl/>
        <w:rPr>
          <w:sz w:val="22"/>
        </w:rPr>
      </w:pPr>
      <w:r>
        <w:rPr>
          <w:sz w:val="22"/>
        </w:rPr>
        <w:t>Re:</w:t>
        <w:tab/>
        <w:tab/>
        <w:tab/>
        <w:tab/>
        <w:t>Commodity Option</w:t>
      </w:r>
    </w:p>
    <w:p>
      <w:pPr>
        <w:pStyle w:val="Normal"/>
        <w:widowControl/>
        <w:rPr/>
      </w:pPr>
      <w:r>
        <w:rPr>
          <w:sz w:val="22"/>
        </w:rPr>
        <w:t>Contract  No.:</w:t>
        <w:tab/>
        <w:tab/>
        <w:tab/>
        <w:t xml:space="preserve">ENA Contract No. </w:t>
      </w:r>
      <w:r>
        <w:rPr>
          <w:sz w:val="22"/>
          <w:u w:val="single"/>
        </w:rPr>
        <w:tab/>
        <w:tab/>
      </w:r>
    </w:p>
    <w:p>
      <w:pPr>
        <w:pStyle w:val="Normal"/>
        <w:widowControl/>
        <w:rPr>
          <w:sz w:val="22"/>
          <w:u w:val="single"/>
        </w:rPr>
      </w:pPr>
      <w:r>
        <w:rPr>
          <w:sz w:val="22"/>
          <w:u w:val="single"/>
        </w:rPr>
      </w:r>
    </w:p>
    <w:p>
      <w:pPr>
        <w:pStyle w:val="Normal"/>
        <w:widowControl/>
        <w:jc w:val="center"/>
        <w:rPr>
          <w:b/>
          <w:sz w:val="22"/>
        </w:rPr>
      </w:pPr>
      <w:r>
        <w:rPr>
          <w:b/>
          <w:sz w:val="22"/>
        </w:rPr>
      </w:r>
    </w:p>
    <w:p>
      <w:pPr>
        <w:pStyle w:val="Normal"/>
        <w:widowControl/>
        <w:rPr>
          <w:b/>
          <w:sz w:val="22"/>
        </w:rPr>
      </w:pPr>
      <w:r>
        <w:rPr>
          <w:b/>
          <w:sz w:val="22"/>
        </w:rPr>
      </w:r>
    </w:p>
    <w:p>
      <w:pPr>
        <w:pStyle w:val="Normal"/>
        <w:widowControl/>
        <w:ind w:end="-540"/>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widowControl/>
        <w:rPr>
          <w:sz w:val="22"/>
        </w:rPr>
      </w:pPr>
      <w:r>
        <w:rPr>
          <w:sz w:val="22"/>
        </w:rPr>
      </w:r>
    </w:p>
    <w:p>
      <w:pPr>
        <w:pStyle w:val="Normal"/>
        <w:widowControl/>
        <w:rPr>
          <w:sz w:val="22"/>
        </w:rPr>
      </w:pPr>
      <w:r>
        <w:rPr>
          <w:b/>
          <w:sz w:val="22"/>
        </w:rPr>
        <w:t>General Terms for Call:</w:t>
      </w:r>
    </w:p>
    <w:p>
      <w:pPr>
        <w:pStyle w:val="Normal"/>
        <w:widowControl/>
        <w:rPr>
          <w:sz w:val="22"/>
        </w:rPr>
      </w:pPr>
      <w:r>
        <w:rPr>
          <w:sz w:val="22"/>
        </w:rPr>
      </w:r>
    </w:p>
    <w:p>
      <w:pPr>
        <w:pStyle w:val="Normal"/>
        <w:widowControl/>
        <w:rPr>
          <w:sz w:val="22"/>
        </w:rPr>
      </w:pPr>
      <w:r>
        <w:rPr>
          <w:sz w:val="22"/>
        </w:rPr>
        <w:tab/>
        <w:t>Trade Date:</w:t>
        <w:tab/>
        <w:tab/>
        <w:tab/>
        <w:tab/>
        <w:t>July 13, 2000</w:t>
      </w:r>
    </w:p>
    <w:p>
      <w:pPr>
        <w:pStyle w:val="Normal"/>
        <w:widowControl/>
        <w:rPr>
          <w:sz w:val="22"/>
        </w:rPr>
      </w:pPr>
      <w:r>
        <w:rPr>
          <w:sz w:val="22"/>
        </w:rPr>
      </w:r>
    </w:p>
    <w:p>
      <w:pPr>
        <w:pStyle w:val="Normal"/>
        <w:widowControl/>
        <w:tabs>
          <w:tab w:val="left" w:pos="720" w:leader="none"/>
        </w:tabs>
        <w:rPr>
          <w:sz w:val="22"/>
        </w:rPr>
      </w:pPr>
      <w:r>
        <w:rPr>
          <w:sz w:val="22"/>
        </w:rPr>
        <w:tab/>
        <w:t>Commodity:</w:t>
        <w:tab/>
        <w:tab/>
        <w:tab/>
        <w:tab/>
        <w:t>Drilling Rig Day Rate</w:t>
      </w:r>
    </w:p>
    <w:p>
      <w:pPr>
        <w:pStyle w:val="Normal"/>
        <w:widowControl/>
        <w:rPr>
          <w:sz w:val="22"/>
        </w:rPr>
      </w:pPr>
      <w:r>
        <w:rPr>
          <w:sz w:val="22"/>
        </w:rPr>
      </w:r>
    </w:p>
    <w:p>
      <w:pPr>
        <w:pStyle w:val="Normal"/>
        <w:widowControl/>
        <w:rPr>
          <w:sz w:val="22"/>
        </w:rPr>
      </w:pPr>
      <w:r>
        <w:rPr>
          <w:sz w:val="22"/>
        </w:rPr>
        <w:tab/>
        <w:t>Commodity Unit:</w:t>
        <w:tab/>
        <w:tab/>
        <w:tab/>
        <w:t xml:space="preserve">Rig </w:t>
      </w:r>
    </w:p>
    <w:p>
      <w:pPr>
        <w:pStyle w:val="Normal"/>
        <w:widowControl/>
        <w:rPr>
          <w:sz w:val="22"/>
        </w:rPr>
      </w:pPr>
      <w:r>
        <w:rPr>
          <w:sz w:val="22"/>
        </w:rPr>
      </w:r>
    </w:p>
    <w:p>
      <w:pPr>
        <w:pStyle w:val="Normal"/>
        <w:widowControl/>
        <w:rPr>
          <w:sz w:val="22"/>
        </w:rPr>
      </w:pPr>
      <w:r>
        <w:rPr>
          <w:sz w:val="22"/>
        </w:rPr>
        <w:tab/>
        <w:t>Option Type:</w:t>
        <w:tab/>
        <w:tab/>
        <w:tab/>
        <w:tab/>
        <w:t>Call Option</w:t>
      </w:r>
    </w:p>
    <w:p>
      <w:pPr>
        <w:pStyle w:val="Normal"/>
        <w:widowControl/>
        <w:rPr>
          <w:sz w:val="22"/>
        </w:rPr>
      </w:pPr>
      <w:r>
        <w:rPr>
          <w:sz w:val="22"/>
        </w:rPr>
      </w:r>
    </w:p>
    <w:p>
      <w:pPr>
        <w:pStyle w:val="Normal"/>
        <w:widowControl/>
        <w:rPr>
          <w:sz w:val="22"/>
        </w:rPr>
      </w:pPr>
      <w:r>
        <w:rPr>
          <w:sz w:val="22"/>
        </w:rPr>
        <w:tab/>
        <w:t>Seller:</w:t>
        <w:tab/>
        <w:tab/>
        <w:tab/>
        <w:tab/>
        <w:tab/>
        <w:t>Counterparty</w:t>
      </w:r>
    </w:p>
    <w:p>
      <w:pPr>
        <w:pStyle w:val="Normal"/>
        <w:widowControl/>
        <w:rPr>
          <w:sz w:val="22"/>
        </w:rPr>
      </w:pPr>
      <w:r>
        <w:rPr>
          <w:sz w:val="22"/>
        </w:rPr>
      </w:r>
    </w:p>
    <w:p>
      <w:pPr>
        <w:pStyle w:val="Normal"/>
        <w:widowControl/>
        <w:rPr>
          <w:sz w:val="22"/>
        </w:rPr>
      </w:pPr>
      <w:r>
        <w:rPr>
          <w:sz w:val="22"/>
        </w:rPr>
        <w:tab/>
        <w:t>Buyer:</w:t>
        <w:tab/>
        <w:tab/>
        <w:tab/>
        <w:tab/>
        <w:tab/>
        <w:t>ENA</w:t>
      </w:r>
    </w:p>
    <w:p>
      <w:pPr>
        <w:pStyle w:val="Normal"/>
        <w:widowControl/>
        <w:rPr>
          <w:sz w:val="22"/>
        </w:rPr>
      </w:pPr>
      <w:r>
        <w:rPr>
          <w:sz w:val="22"/>
        </w:rPr>
      </w:r>
    </w:p>
    <w:p>
      <w:pPr>
        <w:pStyle w:val="Normal"/>
        <w:widowControl/>
        <w:rPr>
          <w:sz w:val="22"/>
        </w:rPr>
      </w:pPr>
      <w:r>
        <w:rPr>
          <w:sz w:val="22"/>
        </w:rPr>
        <w:tab/>
        <w:t>Total Premium:</w:t>
        <w:tab/>
        <w:tab/>
        <w:tab/>
        <w:tab/>
        <w:t>US Dollars $250.000.00  due Seller</w:t>
      </w:r>
    </w:p>
    <w:p>
      <w:pPr>
        <w:pStyle w:val="Normal"/>
        <w:widowControl/>
        <w:rPr>
          <w:sz w:val="22"/>
        </w:rPr>
      </w:pPr>
      <w:r>
        <w:rPr>
          <w:sz w:val="22"/>
        </w:rPr>
      </w:r>
    </w:p>
    <w:p>
      <w:pPr>
        <w:pStyle w:val="Normal"/>
        <w:widowControl/>
        <w:rPr>
          <w:sz w:val="22"/>
        </w:rPr>
      </w:pPr>
      <w:r>
        <w:rPr>
          <w:sz w:val="22"/>
        </w:rPr>
        <w:tab/>
        <w:t>Premium Payment Date(s):</w:t>
        <w:tab/>
        <w:tab/>
        <w:t>July 17, 2000</w:t>
      </w:r>
    </w:p>
    <w:p>
      <w:pPr>
        <w:pStyle w:val="Normal"/>
        <w:widowControl/>
        <w:rPr>
          <w:sz w:val="22"/>
        </w:rPr>
      </w:pPr>
      <w:r>
        <w:rPr>
          <w:sz w:val="22"/>
        </w:rPr>
      </w:r>
    </w:p>
    <w:p>
      <w:pPr>
        <w:pStyle w:val="Normal"/>
        <w:widowControl/>
        <w:rPr>
          <w:sz w:val="22"/>
        </w:rPr>
      </w:pPr>
      <w:r>
        <w:rPr>
          <w:sz w:val="22"/>
        </w:rPr>
        <w:tab/>
        <w:t>Automatic Exercise:</w:t>
        <w:tab/>
        <w:tab/>
        <w:tab/>
        <w:t>Applicable</w:t>
      </w:r>
    </w:p>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338"/>
        <w:gridCol w:w="5580"/>
      </w:tblGrid>
      <w:tr>
        <w:trPr/>
        <w:tc>
          <w:tcPr>
            <w:tcW w:w="4338" w:type="dxa"/>
            <w:tcBorders/>
          </w:tcPr>
          <w:p>
            <w:pPr>
              <w:pStyle w:val="Normal"/>
              <w:widowControl/>
              <w:ind w:firstLine="720" w:end="0"/>
              <w:rPr>
                <w:sz w:val="22"/>
              </w:rPr>
            </w:pPr>
            <w:r>
              <w:rPr>
                <w:sz w:val="22"/>
              </w:rPr>
              <w:t>Exercise Period:</w:t>
            </w:r>
          </w:p>
        </w:tc>
        <w:tc>
          <w:tcPr>
            <w:tcW w:w="5580" w:type="dxa"/>
            <w:tcBorders/>
          </w:tcPr>
          <w:p>
            <w:pPr>
              <w:pStyle w:val="Normal"/>
              <w:widowControl/>
              <w:jc w:val="both"/>
              <w:rPr>
                <w:sz w:val="22"/>
              </w:rPr>
            </w:pPr>
            <w:r>
              <w:rPr>
                <w:sz w:val="22"/>
              </w:rPr>
              <w:t>Inapplicable</w:t>
            </w:r>
          </w:p>
        </w:tc>
      </w:tr>
    </w:tbl>
    <w:p>
      <w:pPr>
        <w:pStyle w:val="Normal"/>
        <w:widowControl/>
        <w:rPr>
          <w:sz w:val="22"/>
        </w:rPr>
      </w:pPr>
      <w:r>
        <w:rPr>
          <w:sz w:val="22"/>
        </w:rPr>
        <w:tab/>
      </w:r>
    </w:p>
    <w:p>
      <w:pPr>
        <w:pStyle w:val="Normal"/>
        <w:widowControl/>
        <w:rPr>
          <w:sz w:val="22"/>
        </w:rPr>
      </w:pPr>
      <w:r>
        <w:rPr>
          <w:sz w:val="22"/>
        </w:rPr>
        <w:tab/>
        <w:t>Written Confirmation:</w:t>
        <w:tab/>
        <w:tab/>
        <w:tab/>
        <w:t>Inapplicable</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b/>
          <w:sz w:val="22"/>
        </w:rPr>
        <w:t>Transaction Terms:</w:t>
      </w:r>
    </w:p>
    <w:p>
      <w:pPr>
        <w:pStyle w:val="Normal"/>
        <w:widowContro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start="720" w:end="0"/>
              <w:rPr>
                <w:sz w:val="22"/>
              </w:rPr>
            </w:pPr>
            <w:r>
              <w:rPr>
                <w:sz w:val="22"/>
              </w:rPr>
              <w:t>Notional Quantity per</w:t>
            </w:r>
          </w:p>
        </w:tc>
        <w:tc>
          <w:tcPr>
            <w:tcW w:w="5670" w:type="dxa"/>
            <w:tcBorders/>
          </w:tcPr>
          <w:p>
            <w:pPr>
              <w:pStyle w:val="Normal"/>
              <w:widowControl/>
              <w:snapToGrid w:val="false"/>
              <w:rPr>
                <w:sz w:val="22"/>
              </w:rPr>
            </w:pPr>
            <w:r>
              <w:rPr>
                <w:sz w:val="22"/>
              </w:rPr>
            </w:r>
          </w:p>
        </w:tc>
      </w:tr>
      <w:tr>
        <w:trPr/>
        <w:tc>
          <w:tcPr>
            <w:tcW w:w="4248" w:type="dxa"/>
            <w:tcBorders/>
          </w:tcPr>
          <w:p>
            <w:pPr>
              <w:pStyle w:val="Normal"/>
              <w:widowControl/>
              <w:ind w:start="720" w:end="0"/>
              <w:rPr>
                <w:sz w:val="22"/>
              </w:rPr>
            </w:pPr>
            <w:r>
              <w:rPr>
                <w:sz w:val="22"/>
              </w:rPr>
              <w:t>Determination Period:</w:t>
            </w:r>
          </w:p>
        </w:tc>
        <w:tc>
          <w:tcPr>
            <w:tcW w:w="5670" w:type="dxa"/>
            <w:tcBorders/>
          </w:tcPr>
          <w:p>
            <w:pPr>
              <w:pStyle w:val="Normal"/>
              <w:widowControl/>
              <w:rPr>
                <w:sz w:val="22"/>
              </w:rPr>
            </w:pPr>
            <w:r>
              <w:rPr>
                <w:sz w:val="22"/>
              </w:rPr>
              <w:t>1 Rig multiplied by the number of days in the Determination Period</w:t>
            </w:r>
          </w:p>
        </w:tc>
      </w:tr>
      <w:tr>
        <w:trPr/>
        <w:tc>
          <w:tcPr>
            <w:tcW w:w="4248" w:type="dxa"/>
            <w:tcBorders/>
          </w:tcPr>
          <w:p>
            <w:pPr>
              <w:pStyle w:val="Normal"/>
              <w:widowControl/>
              <w:snapToGrid w:val="false"/>
              <w:rPr>
                <w:sz w:val="22"/>
              </w:rPr>
            </w:pPr>
            <w:r>
              <w:rPr>
                <w:sz w:val="22"/>
              </w:rPr>
            </w:r>
          </w:p>
        </w:tc>
        <w:tc>
          <w:tcPr>
            <w:tcW w:w="5670" w:type="dxa"/>
            <w:tcBorders/>
          </w:tcPr>
          <w:p>
            <w:pPr>
              <w:pStyle w:val="Normal"/>
              <w:widowControl/>
              <w:snapToGrid w:val="false"/>
              <w:rPr>
                <w:sz w:val="22"/>
              </w:rPr>
            </w:pPr>
            <w:r>
              <w:rPr>
                <w:sz w:val="22"/>
              </w:rPr>
            </w:r>
          </w:p>
        </w:tc>
      </w:tr>
    </w:tbl>
    <w:p>
      <w:pPr>
        <w:pStyle w:val="Normal"/>
        <w:widowControl/>
        <w:tabs>
          <w:tab w:val="left" w:pos="720" w:leader="none"/>
        </w:tabs>
        <w:rPr>
          <w:sz w:val="22"/>
        </w:rPr>
      </w:pPr>
      <w:r>
        <w:rPr>
          <w:sz w:val="22"/>
        </w:rPr>
        <w:tab/>
        <w:t>Effective Date:</w:t>
        <w:tab/>
        <w:tab/>
        <w:tab/>
        <w:t xml:space="preserve">           January 1, 2001</w:t>
      </w:r>
    </w:p>
    <w:p>
      <w:pPr>
        <w:pStyle w:val="Normal"/>
        <w:widowControl/>
        <w:rPr>
          <w:sz w:val="22"/>
        </w:rPr>
      </w:pPr>
      <w:r>
        <w:rPr>
          <w:sz w:val="22"/>
        </w:rPr>
      </w:r>
    </w:p>
    <w:p>
      <w:pPr>
        <w:pStyle w:val="Normal"/>
        <w:widowControl/>
        <w:rPr>
          <w:sz w:val="22"/>
        </w:rPr>
      </w:pPr>
      <w:r>
        <w:rPr>
          <w:sz w:val="22"/>
        </w:rPr>
        <w:tab/>
        <w:t>Termination Date:</w:t>
        <w:tab/>
        <w:tab/>
        <w:t xml:space="preserve">           March 31, 2001</w:t>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248"/>
        <w:gridCol w:w="5328"/>
      </w:tblGrid>
      <w:tr>
        <w:trPr/>
        <w:tc>
          <w:tcPr>
            <w:tcW w:w="4248" w:type="dxa"/>
            <w:tcBorders/>
          </w:tcPr>
          <w:p>
            <w:pPr>
              <w:pStyle w:val="Normal"/>
              <w:widowControl/>
              <w:rPr>
                <w:sz w:val="22"/>
              </w:rPr>
            </w:pPr>
            <w:r>
              <w:rPr>
                <w:sz w:val="22"/>
              </w:rPr>
              <w:t xml:space="preserve">             </w:t>
            </w:r>
            <w:r>
              <w:rPr>
                <w:sz w:val="22"/>
              </w:rPr>
              <w:t>Determination Period(s):</w:t>
            </w:r>
          </w:p>
        </w:tc>
        <w:tc>
          <w:tcPr>
            <w:tcW w:w="5328" w:type="dxa"/>
            <w:tcBorders/>
          </w:tcPr>
          <w:p>
            <w:pPr>
              <w:pStyle w:val="Normal"/>
              <w:widowControl/>
              <w:jc w:val="both"/>
              <w:rPr>
                <w:sz w:val="22"/>
              </w:rPr>
            </w:pPr>
            <w:r>
              <w:rPr>
                <w:sz w:val="22"/>
              </w:rPr>
              <w:t>Each calendar month beginning with January 1, 2001 and ending March 31, 2001</w:t>
            </w:r>
          </w:p>
        </w:tc>
      </w:tr>
    </w:tbl>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Strike Price:</w:t>
            </w:r>
          </w:p>
        </w:tc>
        <w:tc>
          <w:tcPr>
            <w:tcW w:w="5670" w:type="dxa"/>
            <w:tcBorders/>
          </w:tcPr>
          <w:p>
            <w:pPr>
              <w:pStyle w:val="Normal"/>
              <w:widowControl/>
              <w:jc w:val="both"/>
              <w:rPr>
                <w:sz w:val="22"/>
              </w:rPr>
            </w:pPr>
            <w:r>
              <w:rPr>
                <w:sz w:val="22"/>
              </w:rPr>
              <w:t>US Dollars $80,000.00 per Rig Day</w:t>
            </w:r>
          </w:p>
        </w:tc>
      </w:tr>
    </w:tbl>
    <w:p>
      <w:pPr>
        <w:pStyle w:val="Normal"/>
        <w:widowContro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Floating Price:</w:t>
            </w:r>
          </w:p>
        </w:tc>
        <w:tc>
          <w:tcPr>
            <w:tcW w:w="5670" w:type="dxa"/>
            <w:tcBorders/>
          </w:tcPr>
          <w:p>
            <w:pPr>
              <w:pStyle w:val="Normal"/>
              <w:widowControl/>
              <w:jc w:val="both"/>
              <w:rPr/>
            </w:pPr>
            <w:r>
              <w:rPr>
                <w:sz w:val="22"/>
              </w:rPr>
              <w:t xml:space="preserve">The arithmetic mean of the high and low Day Rates for </w:t>
            </w:r>
            <w:r>
              <w:rPr>
                <w:i/>
                <w:sz w:val="22"/>
              </w:rPr>
              <w:t>Gulf of Mexico, Jackups “Over 300’ – C”</w:t>
            </w:r>
            <w:r>
              <w:rPr>
                <w:sz w:val="22"/>
              </w:rPr>
              <w:t xml:space="preserve"> as published in the first issue of </w:t>
            </w:r>
            <w:r>
              <w:rPr>
                <w:sz w:val="22"/>
                <w:u w:val="single"/>
              </w:rPr>
              <w:t>Offshore Data Services, Offshore Rig Locator</w:t>
            </w:r>
            <w:r>
              <w:rPr>
                <w:sz w:val="22"/>
              </w:rPr>
              <w:t xml:space="preserve"> published the month following the Determination Period, on the page entitled “Competitive Offshore Rig Day Rates”  </w:t>
            </w:r>
          </w:p>
        </w:tc>
      </w:tr>
      <w:tr>
        <w:trPr/>
        <w:tc>
          <w:tcPr>
            <w:tcW w:w="4248" w:type="dxa"/>
            <w:tcBorders/>
          </w:tcPr>
          <w:p>
            <w:pPr>
              <w:pStyle w:val="Normal"/>
              <w:widowControl/>
              <w:tabs>
                <w:tab w:val="left" w:pos="720" w:leader="none"/>
              </w:tabs>
              <w:rPr>
                <w:sz w:val="22"/>
              </w:rPr>
            </w:pPr>
            <w:r>
              <w:rPr>
                <w:sz w:val="22"/>
              </w:rPr>
              <w:t xml:space="preserve">            </w:t>
            </w:r>
          </w:p>
        </w:tc>
        <w:tc>
          <w:tcPr>
            <w:tcW w:w="5670" w:type="dxa"/>
            <w:tcBorders/>
          </w:tcPr>
          <w:p>
            <w:pPr>
              <w:pStyle w:val="Normal"/>
              <w:widowControl/>
              <w:snapToGrid w:val="false"/>
              <w:ind w:start="-18" w:end="0"/>
              <w:jc w:val="both"/>
              <w:rPr>
                <w:sz w:val="22"/>
              </w:rPr>
            </w:pPr>
            <w:r>
              <w:rPr>
                <w:sz w:val="22"/>
              </w:rPr>
            </w:r>
          </w:p>
        </w:tc>
      </w:tr>
      <w:tr>
        <w:trPr/>
        <w:tc>
          <w:tcPr>
            <w:tcW w:w="4248" w:type="dxa"/>
            <w:tcBorders/>
          </w:tcPr>
          <w:p>
            <w:pPr>
              <w:pStyle w:val="Normal"/>
              <w:widowControl/>
              <w:tabs>
                <w:tab w:val="left" w:pos="720" w:leader="none"/>
              </w:tabs>
              <w:ind w:firstLine="720" w:end="0"/>
              <w:rPr>
                <w:sz w:val="22"/>
              </w:rPr>
            </w:pPr>
            <w:r>
              <w:rPr>
                <w:sz w:val="22"/>
              </w:rPr>
              <w:t>Strike Price Differential:</w:t>
            </w:r>
          </w:p>
        </w:tc>
        <w:tc>
          <w:tcPr>
            <w:tcW w:w="5670" w:type="dxa"/>
            <w:tcBorders/>
          </w:tcPr>
          <w:p>
            <w:pPr>
              <w:pStyle w:val="Normal"/>
              <w:widowControl/>
              <w:jc w:val="both"/>
              <w:rPr>
                <w:sz w:val="22"/>
              </w:rPr>
            </w:pPr>
            <w:r>
              <w:rPr>
                <w:sz w:val="22"/>
              </w:rPr>
              <w:t>A price per Commodity Unit equal to the excess (if a positive number) of  (i) the Floating Price over (ii) the Strike Price</w:t>
            </w:r>
          </w:p>
        </w:tc>
      </w:tr>
    </w:tbl>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Cash Settlement Amount:</w:t>
            </w:r>
          </w:p>
        </w:tc>
        <w:tc>
          <w:tcPr>
            <w:tcW w:w="5670" w:type="dxa"/>
            <w:tcBorders/>
          </w:tcPr>
          <w:p>
            <w:pPr>
              <w:pStyle w:val="Normal"/>
              <w:widowControl/>
              <w:jc w:val="both"/>
              <w:rPr>
                <w:sz w:val="22"/>
              </w:rPr>
            </w:pPr>
            <w:r>
              <w:rPr>
                <w:sz w:val="22"/>
              </w:rPr>
              <w:t>For each relevant Determination Period, an amount (if any) equal to the product of (i) the Notional Quantity per Determination Period multiplied by (ii) the Strike Price Differential, which amount shall be due and payable on the applicable Payment Date for such Determination Period (if for any Determination Period the Floating Price is equal to or less than the Strike Price, then no payment shall be due with respect to such Determination Period)</w:t>
            </w:r>
          </w:p>
        </w:tc>
      </w:tr>
    </w:tbl>
    <w:p>
      <w:pPr>
        <w:pStyle w:val="Normal"/>
        <w:widowControl/>
        <w:tabs>
          <w:tab w:val="clear" w:pos="720"/>
          <w:tab w:val="left" w:pos="4320" w:leader="none"/>
        </w:tabs>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248"/>
        <w:gridCol w:w="5328"/>
      </w:tblGrid>
      <w:tr>
        <w:trPr/>
        <w:tc>
          <w:tcPr>
            <w:tcW w:w="4248" w:type="dxa"/>
            <w:tcBorders/>
          </w:tcPr>
          <w:p>
            <w:pPr>
              <w:pStyle w:val="Normal"/>
              <w:widowControl/>
              <w:tabs>
                <w:tab w:val="clear" w:pos="720"/>
                <w:tab w:val="left" w:pos="4230" w:leader="none"/>
              </w:tabs>
              <w:rPr>
                <w:sz w:val="22"/>
              </w:rPr>
            </w:pPr>
            <w:r>
              <w:rPr>
                <w:sz w:val="22"/>
              </w:rPr>
              <w:t xml:space="preserve">             </w:t>
            </w:r>
            <w:r>
              <w:rPr>
                <w:sz w:val="22"/>
              </w:rPr>
              <w:t>Payment Date(s):</w:t>
            </w:r>
          </w:p>
        </w:tc>
        <w:tc>
          <w:tcPr>
            <w:tcW w:w="5328" w:type="dxa"/>
            <w:tcBorders/>
          </w:tcPr>
          <w:p>
            <w:pPr>
              <w:pStyle w:val="Normal"/>
              <w:widowControl/>
              <w:tabs>
                <w:tab w:val="clear" w:pos="720"/>
                <w:tab w:val="left" w:pos="4230" w:leader="none"/>
              </w:tabs>
              <w:jc w:val="both"/>
              <w:rPr/>
            </w:pPr>
            <w:r>
              <w:rPr>
                <w:sz w:val="22"/>
              </w:rPr>
              <w:t>The fifth 5</w:t>
            </w:r>
            <w:r>
              <w:rPr>
                <w:sz w:val="22"/>
                <w:vertAlign w:val="superscript"/>
              </w:rPr>
              <w:t>th</w:t>
            </w:r>
            <w:r>
              <w:rPr>
                <w:sz w:val="22"/>
              </w:rPr>
              <w:t xml:space="preserve"> Business Day following the date on which the Floating Price is determinable</w:t>
            </w:r>
          </w:p>
        </w:tc>
      </w:tr>
    </w:tbl>
    <w:p>
      <w:pPr>
        <w:pStyle w:val="Normal"/>
        <w:widowControl/>
        <w:tabs>
          <w:tab w:val="clear" w:pos="720"/>
          <w:tab w:val="left" w:pos="4230" w:leader="none"/>
        </w:tabs>
        <w:ind w:start="720" w:end="-1260"/>
        <w:rPr>
          <w:sz w:val="22"/>
        </w:rPr>
      </w:pPr>
      <w:r>
        <w:rPr>
          <w:sz w:val="22"/>
        </w:rPr>
      </w:r>
    </w:p>
    <w:p>
      <w:pPr>
        <w:pStyle w:val="Normal"/>
        <w:widowControl/>
        <w:tabs>
          <w:tab w:val="clear" w:pos="720"/>
          <w:tab w:val="left" w:pos="4230" w:leader="none"/>
        </w:tabs>
        <w:rPr/>
      </w:pPr>
      <w:r>
        <w:rPr>
          <w:b/>
          <w:sz w:val="22"/>
        </w:rPr>
        <w:t>Contractual Currency:</w:t>
      </w:r>
      <w:r>
        <w:rPr>
          <w:sz w:val="22"/>
        </w:rPr>
        <w:tab/>
        <w:t>US Dollars</w:t>
      </w:r>
    </w:p>
    <w:p>
      <w:pPr>
        <w:pStyle w:val="Normal"/>
        <w:widowControl/>
        <w:rPr>
          <w:sz w:val="22"/>
        </w:rPr>
      </w:pPr>
      <w:r>
        <w:rPr>
          <w:sz w:val="22"/>
        </w:rPr>
      </w:r>
    </w:p>
    <w:p>
      <w:pPr>
        <w:pStyle w:val="Normal"/>
        <w:widowControl/>
        <w:tabs>
          <w:tab w:val="clear" w:pos="720"/>
          <w:tab w:val="left" w:pos="4230" w:leader="none"/>
        </w:tabs>
        <w:rPr/>
      </w:pPr>
      <w:r>
        <w:rPr>
          <w:b/>
          <w:sz w:val="22"/>
        </w:rPr>
        <w:t>Governing Law:</w:t>
      </w:r>
      <w:r>
        <w:rPr>
          <w:sz w:val="22"/>
        </w:rPr>
        <w:tab/>
        <w:t>Texas</w:t>
      </w:r>
    </w:p>
    <w:p>
      <w:pPr>
        <w:pStyle w:val="Normal"/>
        <w:widowControl/>
        <w:ind w:end="-720"/>
        <w:rPr/>
      </w:pPr>
      <w:r>
        <w:rPr/>
        <w:tab/>
        <w:tab/>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end="-540"/>
              <w:rPr/>
            </w:pPr>
            <w:r>
              <w:rPr>
                <w:b/>
                <w:sz w:val="22"/>
              </w:rPr>
              <w:t>General Terms and Conditions</w:t>
            </w:r>
            <w:r>
              <w:rPr>
                <w:sz w:val="22"/>
              </w:rPr>
              <w:tab/>
              <w:tab/>
            </w:r>
          </w:p>
          <w:p>
            <w:pPr>
              <w:pStyle w:val="Normal"/>
              <w:widowControl/>
              <w:rPr/>
            </w:pPr>
            <w:r>
              <w:rPr>
                <w:b/>
                <w:sz w:val="22"/>
              </w:rPr>
              <w:t>of Confirmations:</w:t>
            </w:r>
            <w:r>
              <w:rPr>
                <w:sz w:val="22"/>
              </w:rPr>
              <w:tab/>
            </w:r>
          </w:p>
        </w:tc>
        <w:tc>
          <w:tcPr>
            <w:tcW w:w="5670" w:type="dxa"/>
            <w:tcBorders/>
          </w:tcPr>
          <w:p>
            <w:pPr>
              <w:pStyle w:val="Normal"/>
              <w:widowControl/>
              <w:jc w:val="both"/>
              <w:rPr>
                <w:sz w:val="22"/>
              </w:rPr>
            </w:pPr>
            <w:r>
              <w:rPr>
                <w:sz w:val="22"/>
              </w:rPr>
              <w:t xml:space="preserve">The general terms and conditions contained in Annex A attached hereto and made part hereof apply and are incorporated herein </w:t>
            </w:r>
          </w:p>
        </w:tc>
      </w:tr>
    </w:tbl>
    <w:p>
      <w:pPr>
        <w:pStyle w:val="Normal"/>
        <w:widowControl/>
        <w:ind w:end="-990"/>
        <w:rPr>
          <w:sz w:val="22"/>
        </w:rPr>
      </w:pPr>
      <w:r>
        <w:rPr>
          <w:sz w:val="22"/>
        </w:rPr>
        <w:tab/>
      </w:r>
    </w:p>
    <w:p>
      <w:pPr>
        <w:pStyle w:val="Normal"/>
        <w:widowControl/>
        <w:ind w:end="-450"/>
        <w:jc w:val="both"/>
        <w:rPr>
          <w:sz w:val="22"/>
        </w:rPr>
      </w:pPr>
      <w:r>
        <w:rPr>
          <w:sz w:val="22"/>
        </w:rPr>
      </w:r>
    </w:p>
    <w:p>
      <w:pPr>
        <w:pStyle w:val="Normal"/>
        <w:widowControl/>
        <w:ind w:end="-450"/>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widowControl/>
        <w:ind w:end="-450"/>
        <w:jc w:val="both"/>
        <w:rPr>
          <w:sz w:val="22"/>
        </w:rPr>
      </w:pPr>
      <w:r>
        <w:rPr>
          <w:sz w:val="22"/>
        </w:rPr>
      </w:r>
    </w:p>
    <w:p>
      <w:pPr>
        <w:pStyle w:val="Normal"/>
        <w:widowControl/>
        <w:ind w:firstLine="720" w:end="-45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Sincerely,</w:t>
      </w:r>
    </w:p>
    <w:p>
      <w:pPr>
        <w:pStyle w:val="Normal"/>
        <w:widowControl/>
        <w:rPr>
          <w:sz w:val="22"/>
        </w:rPr>
      </w:pPr>
      <w:r>
        <w:rPr>
          <w:sz w:val="22"/>
        </w:rPr>
        <w:tab/>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widowControl/>
              <w:rPr>
                <w:sz w:val="22"/>
              </w:rPr>
            </w:pPr>
            <w:r>
              <w:rPr>
                <w:sz w:val="22"/>
              </w:rPr>
              <w:t>Enron North America Corp.</w:t>
            </w:r>
          </w:p>
        </w:tc>
        <w:tc>
          <w:tcPr>
            <w:tcW w:w="5238" w:type="dxa"/>
            <w:tcBorders/>
          </w:tcPr>
          <w:p>
            <w:pPr>
              <w:pStyle w:val="Normal"/>
              <w:widowControl/>
              <w:rPr>
                <w:sz w:val="22"/>
              </w:rPr>
            </w:pPr>
            <w:r>
              <w:rPr/>
              <w:t>Pride International, Inc.</w:t>
            </w:r>
          </w:p>
        </w:tc>
      </w:tr>
    </w:tbl>
    <w:p>
      <w:pPr>
        <w:pStyle w:val="Normal"/>
        <w:widowControl/>
        <w:rPr>
          <w:sz w:val="22"/>
        </w:rPr>
      </w:pPr>
      <w:r>
        <w:rPr>
          <w:sz w:val="22"/>
        </w:rPr>
      </w:r>
    </w:p>
    <w:p>
      <w:pPr>
        <w:pStyle w:val="Normal"/>
        <w:widowControl/>
        <w:tabs>
          <w:tab w:val="clear" w:pos="720"/>
          <w:tab w:val="left" w:pos="4320" w:leader="none"/>
        </w:tabs>
        <w:rPr/>
      </w:pPr>
      <w:r>
        <w:rPr>
          <w:sz w:val="22"/>
        </w:rPr>
        <w:t>By:</w:t>
        <w:tab/>
        <w:t xml:space="preserve">By:  </w:t>
      </w:r>
      <w:r>
        <w:rPr>
          <w:sz w:val="22"/>
          <w:u w:val="single"/>
        </w:rPr>
        <w:tab/>
        <w:tab/>
        <w:tab/>
        <w:tab/>
        <w:tab/>
        <w:tab/>
      </w:r>
    </w:p>
    <w:p>
      <w:pPr>
        <w:pStyle w:val="Normal"/>
        <w:widowControl/>
        <w:tabs>
          <w:tab w:val="clear" w:pos="720"/>
          <w:tab w:val="left" w:pos="4320" w:leader="none"/>
        </w:tabs>
        <w:rPr>
          <w:sz w:val="22"/>
        </w:rPr>
      </w:pPr>
      <w:r>
        <w:rPr>
          <w:sz w:val="22"/>
        </w:rPr>
        <w:t>Name:</w:t>
        <w:tab/>
        <w:t>Name: _________________________________</w:t>
      </w:r>
    </w:p>
    <w:p>
      <w:pPr>
        <w:pStyle w:val="Normal"/>
        <w:widowControl/>
        <w:tabs>
          <w:tab w:val="clear" w:pos="720"/>
          <w:tab w:val="left" w:pos="4320" w:leader="none"/>
        </w:tabs>
        <w:rPr>
          <w:sz w:val="22"/>
        </w:rPr>
      </w:pPr>
      <w:r>
        <w:rPr>
          <w:sz w:val="22"/>
        </w:rPr>
        <w:t>Title:</w:t>
        <w:tab/>
        <w:t>Title: __________________________________</w:t>
      </w:r>
    </w:p>
    <w:p>
      <w:pPr>
        <w:pStyle w:val="Normal"/>
        <w:widowControl/>
        <w:rPr>
          <w:sz w:val="22"/>
        </w:rPr>
      </w:pPr>
      <w:r>
        <w:rPr>
          <w:sz w:val="22"/>
        </w:rPr>
      </w:r>
    </w:p>
    <w:p>
      <w:pPr>
        <w:pStyle w:val="Normal"/>
        <w:widowControl/>
        <w:ind w:end="-720"/>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«EnronFax»</w:t>
      </w:r>
      <w:r>
        <w:rPr>
          <w:sz w:val="22"/>
          <w:b/>
        </w:rPr>
        <w:fldChar w:fldCharType="end"/>
      </w:r>
    </w:p>
    <w:p>
      <w:pPr>
        <w:pStyle w:val="Normal"/>
        <w:widowControl/>
        <w:rPr>
          <w:b/>
          <w:sz w:val="22"/>
        </w:rPr>
      </w:pPr>
      <w:r>
        <w:rPr>
          <w:b/>
          <w:sz w:val="22"/>
        </w:rPr>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cPr>
          <w:p>
            <w:pPr>
              <w:pStyle w:val="Normal"/>
              <w:widowControl/>
              <w:rPr/>
            </w:pPr>
            <w:r>
              <w:rPr>
                <w:b/>
                <w:sz w:val="22"/>
              </w:rPr>
              <w:t>Address for Notices to ENA</w:t>
            </w:r>
            <w:r>
              <w:rPr>
                <w:sz w:val="22"/>
              </w:rPr>
              <w:t>:</w:t>
            </w:r>
          </w:p>
        </w:tc>
        <w:tc>
          <w:tcPr>
            <w:tcW w:w="4968" w:type="dxa"/>
            <w:tcBorders/>
          </w:tcPr>
          <w:p>
            <w:pPr>
              <w:pStyle w:val="Normal"/>
              <w:widowControl/>
              <w:rPr>
                <w:sz w:val="22"/>
              </w:rPr>
            </w:pPr>
            <w:r>
              <w:rPr>
                <w:b/>
                <w:sz w:val="22"/>
              </w:rPr>
              <w:t>Payment Account Information for ENA:</w:t>
            </w:r>
          </w:p>
        </w:tc>
      </w:tr>
      <w:tr>
        <w:trPr/>
        <w:tc>
          <w:tcPr>
            <w:tcW w:w="4608" w:type="dxa"/>
            <w:tcBorders/>
          </w:tcPr>
          <w:p>
            <w:pPr>
              <w:pStyle w:val="Normal"/>
              <w:widowControl/>
              <w:snapToGrid w:val="false"/>
              <w:rPr>
                <w:sz w:val="22"/>
              </w:rPr>
            </w:pPr>
            <w:r>
              <w:rPr>
                <w:sz w:val="22"/>
              </w:rPr>
            </w:r>
          </w:p>
        </w:tc>
        <w:tc>
          <w:tcPr>
            <w:tcW w:w="4968" w:type="dxa"/>
            <w:tcBorders/>
          </w:tcPr>
          <w:p>
            <w:pPr>
              <w:pStyle w:val="Normal"/>
              <w:widowControl/>
              <w:snapToGrid w:val="false"/>
              <w:rPr>
                <w:sz w:val="22"/>
              </w:rPr>
            </w:pPr>
            <w:r>
              <w:rPr>
                <w:sz w:val="22"/>
              </w:rPr>
            </w:r>
          </w:p>
        </w:tc>
      </w:tr>
      <w:tr>
        <w:trPr/>
        <w:tc>
          <w:tcPr>
            <w:tcW w:w="4608" w:type="dxa"/>
            <w:tcBorders/>
          </w:tcPr>
          <w:p>
            <w:pPr>
              <w:pStyle w:val="Normal"/>
              <w:widowControl/>
              <w:rPr>
                <w:sz w:val="22"/>
              </w:rPr>
            </w:pPr>
            <w:r>
              <w:rPr>
                <w:sz w:val="22"/>
              </w:rPr>
              <w:t>1400 Smith St.</w:t>
            </w:r>
          </w:p>
        </w:tc>
        <w:tc>
          <w:tcPr>
            <w:tcW w:w="4968" w:type="dxa"/>
            <w:tcBorders/>
          </w:tcPr>
          <w:p>
            <w:pPr>
              <w:pStyle w:val="Normal"/>
              <w:widowControl/>
              <w:rPr>
                <w:sz w:val="22"/>
              </w:rPr>
            </w:pPr>
            <w:r>
              <w:rPr>
                <w:sz w:val="22"/>
              </w:rPr>
              <w:t xml:space="preserve">Wire Transfer to: </w:t>
            </w:r>
          </w:p>
        </w:tc>
      </w:tr>
      <w:tr>
        <w:trPr/>
        <w:tc>
          <w:tcPr>
            <w:tcW w:w="4608" w:type="dxa"/>
            <w:tcBorders/>
          </w:tcPr>
          <w:p>
            <w:pPr>
              <w:pStyle w:val="Normal"/>
              <w:widowControl/>
              <w:rPr>
                <w:sz w:val="22"/>
              </w:rPr>
            </w:pPr>
            <w:r>
              <w:rPr>
                <w:sz w:val="22"/>
              </w:rPr>
              <w:t>Houston, Texas  77002</w:t>
            </w:r>
          </w:p>
        </w:tc>
        <w:tc>
          <w:tcPr>
            <w:tcW w:w="4968" w:type="dxa"/>
            <w:tcBorders/>
          </w:tcPr>
          <w:p>
            <w:pPr>
              <w:pStyle w:val="Normal"/>
              <w:widowControl/>
              <w:rPr>
                <w:sz w:val="22"/>
              </w:rPr>
            </w:pPr>
            <w:r>
              <w:rPr>
                <w:sz w:val="22"/>
              </w:rPr>
              <w:t xml:space="preserve">Acct. No. </w:t>
            </w:r>
          </w:p>
        </w:tc>
      </w:tr>
      <w:tr>
        <w:trPr/>
        <w:tc>
          <w:tcPr>
            <w:tcW w:w="4608" w:type="dxa"/>
            <w:tcBorders/>
          </w:tcPr>
          <w:p>
            <w:pPr>
              <w:pStyle w:val="Normal"/>
              <w:widowControl/>
              <w:rPr>
                <w:sz w:val="22"/>
              </w:rPr>
            </w:pPr>
            <w:r>
              <w:rPr>
                <w:sz w:val="22"/>
              </w:rPr>
              <w:t>Attention: Director, Documentation Department</w:t>
            </w:r>
          </w:p>
        </w:tc>
        <w:tc>
          <w:tcPr>
            <w:tcW w:w="4968" w:type="dxa"/>
            <w:tcBorders/>
          </w:tcPr>
          <w:p>
            <w:pPr>
              <w:pStyle w:val="Normal"/>
              <w:widowControl/>
              <w:rPr>
                <w:sz w:val="22"/>
              </w:rPr>
            </w:pPr>
            <w:r>
              <w:rPr>
                <w:sz w:val="22"/>
              </w:rPr>
              <w:t>(ABA Routing No.                                     )</w:t>
            </w:r>
          </w:p>
        </w:tc>
      </w:tr>
      <w:tr>
        <w:trPr/>
        <w:tc>
          <w:tcPr>
            <w:tcW w:w="4608" w:type="dxa"/>
            <w:tcBorders/>
          </w:tcPr>
          <w:p>
            <w:pPr>
              <w:pStyle w:val="Normal"/>
              <w:widowControl/>
              <w:rPr>
                <w:sz w:val="22"/>
              </w:rPr>
            </w:pPr>
            <w:r>
              <w:rPr>
                <w:sz w:val="22"/>
              </w:rPr>
              <w:t>Fax:  (713) 646-4816</w:t>
            </w:r>
          </w:p>
        </w:tc>
        <w:tc>
          <w:tcPr>
            <w:tcW w:w="4968" w:type="dxa"/>
            <w:tcBorders/>
          </w:tcPr>
          <w:p>
            <w:pPr>
              <w:pStyle w:val="Normal"/>
              <w:widowControl/>
              <w:snapToGrid w:val="false"/>
              <w:rPr>
                <w:sz w:val="22"/>
              </w:rPr>
            </w:pPr>
            <w:r>
              <w:rPr>
                <w:sz w:val="22"/>
              </w:rPr>
            </w:r>
          </w:p>
        </w:tc>
      </w:tr>
      <w:tr>
        <w:trPr/>
        <w:tc>
          <w:tcPr>
            <w:tcW w:w="4608" w:type="dxa"/>
            <w:tcBorders/>
          </w:tcPr>
          <w:p>
            <w:pPr>
              <w:pStyle w:val="Normal"/>
              <w:widowControl/>
              <w:rPr>
                <w:sz w:val="22"/>
              </w:rPr>
            </w:pPr>
            <w:r>
              <w:rPr>
                <w:sz w:val="22"/>
              </w:rPr>
              <w:t>Phone: (713) 853-3300</w:t>
            </w:r>
          </w:p>
        </w:tc>
        <w:tc>
          <w:tcPr>
            <w:tcW w:w="4968" w:type="dxa"/>
            <w:tcBorders/>
          </w:tcPr>
          <w:p>
            <w:pPr>
              <w:pStyle w:val="Normal"/>
              <w:widowControl/>
              <w:snapToGrid w:val="false"/>
              <w:rPr>
                <w:sz w:val="22"/>
              </w:rPr>
            </w:pPr>
            <w:r>
              <w:rPr>
                <w:sz w:val="22"/>
              </w:rPr>
            </w:r>
          </w:p>
        </w:tc>
      </w:tr>
    </w:tbl>
    <w:p>
      <w:pPr>
        <w:pStyle w:val="Normal"/>
        <w:widowControl/>
        <w:rPr>
          <w:sz w:val="22"/>
        </w:rPr>
      </w:pPr>
      <w:r>
        <w:rPr>
          <w:sz w:val="22"/>
        </w:rPr>
      </w:r>
    </w:p>
    <w:p>
      <w:pPr>
        <w:pStyle w:val="Normal"/>
        <w:widowControl/>
        <w:rPr>
          <w:sz w:val="22"/>
        </w:rPr>
      </w:pPr>
      <w:r>
        <w:rPr>
          <w:sz w:val="22"/>
        </w:rPr>
        <w:t>With a copy of any notice given pursuant to Section 3 or 4 of Annex A or Annex B, if any, to:</w:t>
      </w:r>
    </w:p>
    <w:p>
      <w:pPr>
        <w:pStyle w:val="Normal"/>
        <w:widowControl/>
        <w:rPr>
          <w:sz w:val="22"/>
        </w:rPr>
      </w:pPr>
      <w:r>
        <w:rPr>
          <w:sz w:val="22"/>
        </w:rPr>
      </w:r>
    </w:p>
    <w:p>
      <w:pPr>
        <w:pStyle w:val="Normal"/>
        <w:widowControl/>
        <w:rPr>
          <w:sz w:val="22"/>
        </w:rPr>
      </w:pPr>
      <w:r>
        <w:rPr>
          <w:sz w:val="22"/>
        </w:rPr>
        <w:t>1400 Smith Street</w:t>
      </w:r>
    </w:p>
    <w:p>
      <w:pPr>
        <w:pStyle w:val="Normal"/>
        <w:widowControl/>
        <w:rPr>
          <w:sz w:val="22"/>
        </w:rPr>
      </w:pPr>
      <w:r>
        <w:rPr>
          <w:sz w:val="22"/>
        </w:rPr>
        <w:t>Houston, Texas  77002</w:t>
      </w:r>
    </w:p>
    <w:p>
      <w:pPr>
        <w:pStyle w:val="Normal"/>
        <w:widowControl/>
        <w:rPr>
          <w:sz w:val="22"/>
        </w:rPr>
      </w:pPr>
      <w:r>
        <w:rPr>
          <w:sz w:val="22"/>
        </w:rPr>
        <w:t>Attn.: Assistant General Counsel, Trading Group</w:t>
      </w:r>
    </w:p>
    <w:p>
      <w:pPr>
        <w:pStyle w:val="Normal"/>
        <w:widowControl/>
        <w:rPr>
          <w:sz w:val="22"/>
        </w:rPr>
      </w:pPr>
      <w:r>
        <w:rPr>
          <w:sz w:val="22"/>
        </w:rPr>
        <w:t>Fax: (713) 646-4818</w:t>
      </w:r>
    </w:p>
    <w:p>
      <w:pPr>
        <w:pStyle w:val="Normal"/>
        <w:widowControl/>
        <w:rPr>
          <w:sz w:val="22"/>
        </w:rPr>
      </w:pPr>
      <w:r>
        <w:rPr>
          <w:sz w:val="22"/>
        </w:rPr>
      </w:r>
    </w:p>
    <w:p>
      <w:pPr>
        <w:pStyle w:val="Normal"/>
        <w:widowControl/>
        <w:ind w:end="-270"/>
        <w:rPr/>
      </w:pPr>
      <w:r>
        <w:rPr>
          <w:b/>
          <w:sz w:val="22"/>
          <w:u w:val="single"/>
        </w:rPr>
        <w:t>Address for Notices to Counterparty:</w:t>
      </w:r>
      <w:r>
        <w:rPr>
          <w:sz w:val="22"/>
        </w:rPr>
        <w:tab/>
        <w:tab/>
      </w:r>
      <w:r>
        <w:rPr>
          <w:b/>
          <w:sz w:val="22"/>
          <w:u w:val="single"/>
        </w:rPr>
        <w:t>Payment Account Information for Counterparty:</w:t>
      </w:r>
    </w:p>
    <w:p>
      <w:pPr>
        <w:pStyle w:val="Normal"/>
        <w:widowControl/>
        <w:rPr>
          <w:b/>
          <w:sz w:val="22"/>
          <w:u w:val="single"/>
        </w:rPr>
      </w:pPr>
      <w:r>
        <w:rPr>
          <w:b/>
          <w:sz w:val="22"/>
          <w:u w:val="single"/>
        </w:rPr>
      </w:r>
    </w:p>
    <w:p>
      <w:pPr>
        <w:pStyle w:val="Normal"/>
        <w:widowControl/>
        <w:rPr>
          <w:sz w:val="22"/>
        </w:rPr>
      </w:pPr>
      <w:r>
        <w:rPr>
          <w:sz w:val="22"/>
        </w:rPr>
        <w:t>Address: ____________________________</w:t>
        <w:tab/>
        <w:t>____________________________________________</w:t>
      </w:r>
    </w:p>
    <w:p>
      <w:pPr>
        <w:pStyle w:val="Normal"/>
        <w:widowControl/>
        <w:rPr>
          <w:sz w:val="22"/>
        </w:rPr>
      </w:pPr>
      <w:r>
        <w:rPr>
          <w:sz w:val="22"/>
        </w:rPr>
        <w:t>____________________________________</w:t>
        <w:tab/>
        <w:t>____________________________________________</w:t>
      </w:r>
    </w:p>
    <w:p>
      <w:pPr>
        <w:pStyle w:val="Normal"/>
        <w:widowControl/>
        <w:rPr>
          <w:sz w:val="22"/>
        </w:rPr>
      </w:pPr>
      <w:r>
        <w:rPr>
          <w:sz w:val="22"/>
        </w:rPr>
        <w:t xml:space="preserve"> </w:t>
      </w:r>
      <w:r>
        <w:rPr>
          <w:sz w:val="22"/>
        </w:rPr>
        <w:t>___________________________________</w:t>
        <w:tab/>
        <w:t>____________________________________________</w:t>
      </w:r>
    </w:p>
    <w:p>
      <w:pPr>
        <w:pStyle w:val="Normal"/>
        <w:widowControl/>
        <w:rPr>
          <w:sz w:val="22"/>
        </w:rPr>
      </w:pPr>
      <w:r>
        <w:rPr>
          <w:sz w:val="22"/>
        </w:rPr>
        <w:t>Attention: ___________________________       ____________________________________________</w:t>
      </w:r>
    </w:p>
    <w:p>
      <w:pPr>
        <w:pStyle w:val="Normal"/>
        <w:widowControl/>
        <w:rPr>
          <w:sz w:val="22"/>
        </w:rPr>
      </w:pPr>
      <w:r>
        <w:rPr>
          <w:sz w:val="22"/>
        </w:rPr>
        <w:t>Fax: ________________________________      ____________________________________________</w:t>
      </w:r>
    </w:p>
    <w:p>
      <w:pPr>
        <w:pStyle w:val="Normal"/>
        <w:widowControl/>
        <w:rPr>
          <w:sz w:val="22"/>
        </w:rPr>
      </w:pPr>
      <w:r>
        <w:rPr>
          <w:sz w:val="22"/>
        </w:rPr>
        <w:t>Phone: ______________________________      ____________________________________________</w:t>
      </w:r>
    </w:p>
    <w:p>
      <w:pPr>
        <w:pStyle w:val="Normal"/>
        <w:widowControl/>
        <w:rPr>
          <w:sz w:val="22"/>
        </w:rPr>
      </w:pPr>
      <w:r>
        <w:rPr>
          <w:sz w:val="22"/>
        </w:rPr>
      </w:r>
    </w:p>
    <w:p>
      <w:pPr>
        <w:pStyle w:val="Normal"/>
        <w:widowControl/>
        <w:rPr>
          <w:b/>
          <w:sz w:val="22"/>
        </w:rPr>
      </w:pPr>
      <w:r>
        <w:rPr>
          <w:b/>
          <w:sz w:val="22"/>
        </w:rPr>
        <w:t>COUNTERPARTY: PLEASE PROVIDE ABOVE REQUESTED INFORMATION IF NOT PROVIDED PREVIOUSLY OR IF CHANGES HAVE OCCURRED</w:t>
      </w:r>
    </w:p>
    <w:sectPr>
      <w:headerReference w:type="default" r:id="rId3"/>
      <w:footerReference w:type="default" r:id="rId4"/>
      <w:type w:val="nextPage"/>
      <w:pgSz w:w="12240" w:h="15840"/>
      <w:pgMar w:left="1440" w:right="1440"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pBdr/>
      <w:jc w:val="center"/>
      <w:rPr>
        <w:b/>
        <w:i/>
        <w:i/>
      </w:rPr>
    </w:pPr>
    <w:r>
      <w:rPr>
        <w:b/>
        <w:i/>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2000-07-13T21:12:00Z</dcterms:created>
  <dc:creator>Enron User</dc:creator>
  <dc:description/>
  <dc:language>en-CA</dc:language>
  <cp:lastModifiedBy>mtaylo1</cp:lastModifiedBy>
  <cp:lastPrinted>2000-07-13T18:27:00Z</cp:lastPrinted>
  <dcterms:modified xsi:type="dcterms:W3CDTF">2000-07-13T21:12:00Z</dcterms:modified>
  <cp:revision>2</cp:revision>
  <dc:subject/>
  <dc:title> </dc:title>
</cp:coreProperties>
</file>