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t>Cap</w:t>
      </w:r>
    </w:p>
    <w:p>
      <w:pPr>
        <w:pStyle w:val="Normal"/>
        <w:rPr>
          <w:sz w:val="22"/>
        </w:rPr>
      </w:pPr>
      <w:r>
        <w:rPr>
          <w:sz w:val="22"/>
        </w:rPr>
      </w:r>
    </w:p>
    <w:p>
      <w:pPr>
        <w:pStyle w:val="Normal"/>
        <w:rPr>
          <w:sz w:val="22"/>
        </w:rPr>
      </w:pPr>
      <w:r>
        <w:rPr>
          <w:sz w:val="22"/>
        </w:rPr>
        <w:t>Date:</w:t>
        <w:tab/>
        <w:tab/>
        <w:t>August 3, 2000</w:t>
      </w:r>
    </w:p>
    <w:p>
      <w:pPr>
        <w:pStyle w:val="Normal"/>
        <w:rPr>
          <w:sz w:val="22"/>
        </w:rPr>
      </w:pPr>
      <w:r>
        <w:rPr>
          <w:sz w:val="22"/>
        </w:rPr>
        <w:t>To:</w:t>
        <w:tab/>
        <w:tab/>
        <w:t>Pride International, Inc. ("Party B")</w:t>
      </w:r>
    </w:p>
    <w:p>
      <w:pPr>
        <w:pStyle w:val="Normal"/>
        <w:rPr>
          <w:sz w:val="22"/>
        </w:rPr>
      </w:pPr>
      <w:r>
        <w:rPr>
          <w:sz w:val="22"/>
        </w:rPr>
        <w:t>Attention:</w:t>
        <w:tab/>
        <w:t>Paul A. Bragg</w:t>
      </w:r>
    </w:p>
    <w:p>
      <w:pPr>
        <w:pStyle w:val="Normal"/>
        <w:rPr>
          <w:sz w:val="22"/>
        </w:rPr>
      </w:pPr>
      <w:r>
        <w:rPr>
          <w:sz w:val="22"/>
        </w:rPr>
        <w:t>Fax No.:</w:t>
        <w:tab/>
        <w:t>(713) 952-6916</w:t>
      </w:r>
    </w:p>
    <w:p>
      <w:pPr>
        <w:pStyle w:val="Normal"/>
        <w:rPr>
          <w:sz w:val="22"/>
        </w:rPr>
      </w:pPr>
      <w:r>
        <w:rPr>
          <w:sz w:val="22"/>
        </w:rPr>
        <w:t>From:</w:t>
        <w:tab/>
        <w:tab/>
        <w:t>Enron North America Corp. (“Party A")</w:t>
      </w:r>
    </w:p>
    <w:p>
      <w:pPr>
        <w:pStyle w:val="Normal"/>
        <w:rPr>
          <w:sz w:val="22"/>
        </w:rPr>
      </w:pPr>
      <w:r>
        <w:rPr>
          <w:sz w:val="22"/>
        </w:rPr>
        <w:t>Re:</w:t>
        <w:tab/>
        <w:tab/>
        <w:t>Cap Option</w:t>
      </w:r>
    </w:p>
    <w:p>
      <w:pPr>
        <w:pStyle w:val="Normal"/>
        <w:rPr/>
      </w:pPr>
      <w:r>
        <w:rPr>
          <w:sz w:val="22"/>
        </w:rPr>
        <w:t xml:space="preserve">Contract No.: </w:t>
        <w:tab/>
      </w:r>
      <w:r>
        <w:rPr>
          <w:sz w:val="22"/>
          <w:u w:val="single"/>
        </w:rPr>
        <w:tab/>
        <w:tab/>
      </w:r>
    </w:p>
    <w:p>
      <w:pPr>
        <w:pStyle w:val="Normal"/>
        <w:rPr>
          <w:sz w:val="22"/>
          <w:u w:val="single"/>
        </w:rPr>
      </w:pPr>
      <w:r>
        <w:rPr>
          <w:sz w:val="22"/>
          <w:u w:val="single"/>
        </w:rPr>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sz w:val="22"/>
        </w:rPr>
      </w:pPr>
      <w:r>
        <w:rPr>
          <w:sz w:val="22"/>
        </w:rPr>
        <w:tab/>
        <w:t>1.  This Confirmation supplements, forms part of, and is subject to, the ISDA Master Agreement dated as of __________, 2000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t>Cap</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5958" w:type="dxa"/>
            <w:tcBorders/>
          </w:tcPr>
          <w:p>
            <w:pPr>
              <w:pStyle w:val="Normal"/>
              <w:snapToGrid w:val="false"/>
              <w:rPr>
                <w:sz w:val="22"/>
              </w:rPr>
            </w:pPr>
            <w:r>
              <w:rPr>
                <w:sz w:val="22"/>
              </w:rPr>
            </w:r>
          </w:p>
          <w:p>
            <w:pPr>
              <w:pStyle w:val="Normal"/>
              <w:rPr>
                <w:sz w:val="22"/>
              </w:rPr>
            </w:pPr>
            <w:r>
              <w:rPr>
                <w:sz w:val="22"/>
              </w:rPr>
              <w:t>1 Rig multiplied by the number of days in the Calculation Period</w:t>
            </w:r>
          </w:p>
        </w:tc>
      </w:tr>
    </w:tbl>
    <w:p>
      <w:pPr>
        <w:pStyle w:val="Normal"/>
        <w:rPr>
          <w:sz w:val="22"/>
        </w:rPr>
      </w:pPr>
      <w:r>
        <w:rPr>
          <w:sz w:val="22"/>
        </w:rPr>
      </w:r>
    </w:p>
    <w:p>
      <w:pPr>
        <w:pStyle w:val="Normal"/>
        <w:rPr>
          <w:sz w:val="22"/>
        </w:rPr>
      </w:pPr>
      <w:r>
        <w:rPr>
          <w:sz w:val="22"/>
        </w:rPr>
        <w:t>Commodity:</w:t>
        <w:tab/>
        <w:tab/>
        <w:tab/>
        <w:tab/>
        <w:t xml:space="preserve">Drilling Rig Day Rate </w:t>
      </w:r>
    </w:p>
    <w:p>
      <w:pPr>
        <w:pStyle w:val="Normal"/>
        <w:rPr>
          <w:sz w:val="22"/>
        </w:rPr>
      </w:pPr>
      <w:r>
        <w:rPr>
          <w:sz w:val="22"/>
        </w:rPr>
      </w:r>
    </w:p>
    <w:p>
      <w:pPr>
        <w:pStyle w:val="Normal"/>
        <w:rPr>
          <w:sz w:val="22"/>
        </w:rPr>
      </w:pPr>
      <w:r>
        <w:rPr>
          <w:sz w:val="22"/>
        </w:rPr>
        <w:t>Commodity Unit:</w:t>
        <w:tab/>
        <w:tab/>
        <w:tab/>
        <w:t>Rig Day</w:t>
      </w:r>
    </w:p>
    <w:p>
      <w:pPr>
        <w:pStyle w:val="Normal"/>
        <w:rPr>
          <w:sz w:val="22"/>
        </w:rPr>
      </w:pPr>
      <w:r>
        <w:rPr>
          <w:sz w:val="22"/>
        </w:rPr>
      </w:r>
    </w:p>
    <w:p>
      <w:pPr>
        <w:pStyle w:val="Normal"/>
        <w:rPr>
          <w:sz w:val="22"/>
        </w:rPr>
      </w:pPr>
      <w:r>
        <w:rPr>
          <w:sz w:val="22"/>
        </w:rPr>
        <w:t>Trade Date:</w:t>
        <w:tab/>
        <w:tab/>
        <w:tab/>
        <w:tab/>
        <w:t>August 3, 2000</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Calculation Period(s):</w:t>
            </w:r>
          </w:p>
        </w:tc>
        <w:tc>
          <w:tcPr>
            <w:tcW w:w="5958" w:type="dxa"/>
            <w:tcBorders/>
          </w:tcPr>
          <w:p>
            <w:pPr>
              <w:pStyle w:val="Normal"/>
              <w:jc w:val="both"/>
              <w:rPr>
                <w:sz w:val="22"/>
              </w:rPr>
            </w:pPr>
            <w:r>
              <w:rPr>
                <w:sz w:val="22"/>
              </w:rPr>
              <w:t>Monthly periods, with the first Calculation Period commencing on April 1, 2001 and the final Calculation Period ending on June 30, 2001</w:t>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Payment Dates(s):</w:t>
            </w:r>
          </w:p>
        </w:tc>
        <w:tc>
          <w:tcPr>
            <w:tcW w:w="5958" w:type="dxa"/>
            <w:tcBorders/>
          </w:tcPr>
          <w:p>
            <w:pPr>
              <w:pStyle w:val="Normal"/>
              <w:rPr/>
            </w:pPr>
            <w:r>
              <w:rPr>
                <w:sz w:val="22"/>
              </w:rPr>
              <w:t>The fifth (5</w:t>
            </w:r>
            <w:r>
              <w:rPr>
                <w:sz w:val="22"/>
                <w:vertAlign w:val="superscript"/>
              </w:rPr>
              <w:t>th</w:t>
            </w:r>
            <w:r>
              <w:rPr>
                <w:sz w:val="22"/>
              </w:rPr>
              <w:t>) Business Day following the date on which the Floating Price is determinable</w:t>
            </w:r>
          </w:p>
        </w:tc>
      </w:tr>
    </w:tbl>
    <w:p>
      <w:pPr>
        <w:pStyle w:val="Normal"/>
        <w:rPr>
          <w:sz w:val="22"/>
        </w:rPr>
      </w:pPr>
      <w:r>
        <w:rPr>
          <w:sz w:val="22"/>
        </w:rPr>
      </w:r>
    </w:p>
    <w:p>
      <w:pPr>
        <w:pStyle w:val="Normal"/>
        <w:ind w:hanging="3600" w:start="3600" w:end="0"/>
        <w:rPr>
          <w:sz w:val="22"/>
        </w:rPr>
      </w:pPr>
      <w:r>
        <w:rPr>
          <w:sz w:val="22"/>
        </w:rPr>
        <w:t>Premium Payment Details:</w:t>
        <w:tab/>
        <w:t>On or before Aug 8, 2000, Party A  shall pay Party B US Dollar $200,000.</w:t>
      </w:r>
    </w:p>
    <w:p>
      <w:pPr>
        <w:pStyle w:val="Normal"/>
        <w:rPr>
          <w:sz w:val="22"/>
        </w:rPr>
      </w:pPr>
      <w:r>
        <w:rPr>
          <w:sz w:val="22"/>
        </w:rPr>
      </w:r>
    </w:p>
    <w:p>
      <w:pPr>
        <w:pStyle w:val="Normal"/>
        <w:rPr>
          <w:sz w:val="22"/>
        </w:rPr>
      </w:pPr>
      <w:r>
        <w:rPr>
          <w:sz w:val="22"/>
        </w:rPr>
        <w:t xml:space="preserve">Fixed Price Payer </w:t>
      </w:r>
    </w:p>
    <w:p>
      <w:pPr>
        <w:pStyle w:val="Normal"/>
        <w:rPr>
          <w:sz w:val="22"/>
        </w:rPr>
      </w:pPr>
      <w:r>
        <w:rPr>
          <w:sz w:val="22"/>
        </w:rPr>
        <w:t>(Buyer):</w:t>
        <w:tab/>
        <w:tab/>
        <w:tab/>
        <w:tab/>
        <w:t>Party A</w:t>
      </w:r>
    </w:p>
    <w:p>
      <w:pPr>
        <w:pStyle w:val="Normal"/>
        <w:rPr>
          <w:sz w:val="22"/>
        </w:rPr>
      </w:pPr>
      <w:r>
        <w:rPr>
          <w:sz w:val="22"/>
        </w:rPr>
        <w:tab/>
        <w:tab/>
        <w:tab/>
        <w:tab/>
      </w:r>
    </w:p>
    <w:p>
      <w:pPr>
        <w:pStyle w:val="Normal"/>
        <w:rPr>
          <w:sz w:val="22"/>
        </w:rPr>
      </w:pPr>
      <w:r>
        <w:rPr>
          <w:sz w:val="22"/>
        </w:rPr>
      </w:r>
    </w:p>
    <w:p>
      <w:pPr>
        <w:pStyle w:val="Normal"/>
        <w:rPr>
          <w:sz w:val="22"/>
        </w:rPr>
      </w:pPr>
      <w:r>
        <w:rPr>
          <w:sz w:val="22"/>
        </w:rPr>
        <w:t xml:space="preserve">Floating Price Payer </w:t>
      </w:r>
    </w:p>
    <w:p>
      <w:pPr>
        <w:pStyle w:val="Normal"/>
        <w:rPr>
          <w:sz w:val="22"/>
        </w:rPr>
      </w:pPr>
      <w:r>
        <w:rPr>
          <w:sz w:val="22"/>
        </w:rPr>
        <w:t>(Seller):</w:t>
        <w:tab/>
        <w:tab/>
        <w:tab/>
        <w:tab/>
        <w:t>Party B</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90"/>
        <w:gridCol w:w="5868"/>
      </w:tblGrid>
      <w:tr>
        <w:trPr/>
        <w:tc>
          <w:tcPr>
            <w:tcW w:w="3708" w:type="dxa"/>
            <w:gridSpan w:val="2"/>
            <w:tcBorders/>
          </w:tcPr>
          <w:p>
            <w:pPr>
              <w:pStyle w:val="Normal"/>
              <w:rPr>
                <w:sz w:val="22"/>
              </w:rPr>
            </w:pPr>
            <w:r>
              <w:rPr>
                <w:sz w:val="22"/>
              </w:rPr>
              <w:t>Cap Price:</w:t>
            </w:r>
          </w:p>
          <w:p>
            <w:pPr>
              <w:pStyle w:val="Normal"/>
              <w:rPr>
                <w:sz w:val="22"/>
              </w:rPr>
            </w:pPr>
            <w:r>
              <w:rPr>
                <w:sz w:val="22"/>
              </w:rPr>
              <w:t>(Strike Price)</w:t>
            </w:r>
          </w:p>
          <w:p>
            <w:pPr>
              <w:pStyle w:val="Normal"/>
              <w:rPr>
                <w:sz w:val="22"/>
              </w:rPr>
            </w:pPr>
            <w:r>
              <w:rPr>
                <w:sz w:val="22"/>
              </w:rPr>
            </w:r>
          </w:p>
        </w:tc>
        <w:tc>
          <w:tcPr>
            <w:tcW w:w="5868" w:type="dxa"/>
            <w:tcBorders/>
          </w:tcPr>
          <w:p>
            <w:pPr>
              <w:pStyle w:val="Normal"/>
              <w:ind w:start="-108" w:end="0"/>
              <w:rPr>
                <w:sz w:val="22"/>
              </w:rPr>
            </w:pPr>
            <w:r>
              <w:rPr>
                <w:sz w:val="22"/>
              </w:rPr>
              <w:t>US Dollars $65,000 per Rig Day</w:t>
            </w:r>
          </w:p>
        </w:tc>
      </w:tr>
      <w:tr>
        <w:trPr/>
        <w:tc>
          <w:tcPr>
            <w:tcW w:w="3618" w:type="dxa"/>
            <w:tcBorders/>
          </w:tcPr>
          <w:p>
            <w:pPr>
              <w:pStyle w:val="Normal"/>
              <w:rPr>
                <w:sz w:val="22"/>
              </w:rPr>
            </w:pPr>
            <w:r>
              <w:rPr>
                <w:sz w:val="22"/>
              </w:rPr>
              <w:t>Floating Price:</w:t>
            </w:r>
          </w:p>
        </w:tc>
        <w:tc>
          <w:tcPr>
            <w:tcW w:w="5958" w:type="dxa"/>
            <w:gridSpan w:val="2"/>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mean of the high and low Rig Day Rates for</w:t>
              <w:t>JU - 300’-IC as published by Offshore Data Services, Inc., or its successor, in the last issue of Gulf of Mexico Weekly Rig Locator, or any sucessor publication, published during the applicable Calculation Period, on the page entitled “Gulf of Mexico Rig Utilization and Day Rates”</w:t>
            </w:r>
            <w:r>
              <w:rPr>
                <w:sz w:val="22"/>
              </w:rPr>
              <w:fldChar w:fldCharType="end"/>
            </w:r>
          </w:p>
        </w:tc>
      </w:tr>
    </w:tbl>
    <w:p>
      <w:pPr>
        <w:pStyle w:val="Normal"/>
        <w:jc w:val="both"/>
        <w:rPr>
          <w:sz w:val="22"/>
        </w:rPr>
      </w:pPr>
      <w:r>
        <w:rPr>
          <w:sz w:val="22"/>
        </w:rPr>
      </w:r>
    </w:p>
    <w:p>
      <w:pPr>
        <w:pStyle w:val="BodyText"/>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tab/>
              <w:tab/>
              <w:tab/>
              <w:tab/>
              <w:tab/>
            </w:r>
          </w:p>
          <w:p>
            <w:pPr>
              <w:pStyle w:val="Normal"/>
              <w:rPr/>
            </w:pPr>
            <w:r>
              <w:rPr>
                <w:sz w:val="22"/>
              </w:rPr>
              <w:t xml:space="preserve">By:  </w:t>
            </w:r>
            <w:r>
              <w:rPr>
                <w:sz w:val="22"/>
                <w:u w:val="single"/>
              </w:rPr>
              <w:tab/>
              <w:tab/>
              <w:tab/>
              <w:tab/>
              <w:tab/>
            </w:r>
            <w:r>
              <w:rPr>
                <w:sz w:val="22"/>
              </w:rPr>
              <w:tab/>
            </w:r>
          </w:p>
          <w:p>
            <w:pPr>
              <w:pStyle w:val="Normal"/>
              <w:rPr>
                <w:sz w:val="22"/>
                <w:u w:val="single"/>
              </w:rPr>
            </w:pPr>
            <w:r>
              <w:rPr>
                <w:sz w:val="22"/>
              </w:rPr>
              <w:t>Name:  Jean Mrha</w:t>
            </w:r>
          </w:p>
          <w:p>
            <w:pPr>
              <w:pStyle w:val="Normal"/>
              <w:rPr>
                <w:sz w:val="22"/>
              </w:rPr>
            </w:pPr>
            <w:r>
              <w:rPr>
                <w:sz w:val="22"/>
              </w:rPr>
              <w:t>Title:  Vice-President</w:t>
            </w:r>
          </w:p>
        </w:tc>
        <w:tc>
          <w:tcPr>
            <w:tcW w:w="5292" w:type="dxa"/>
            <w:tcBorders/>
          </w:tcPr>
          <w:p>
            <w:pPr>
              <w:pStyle w:val="Normal"/>
              <w:rPr>
                <w:sz w:val="22"/>
              </w:rPr>
            </w:pPr>
            <w:r>
              <w:rPr>
                <w:sz w:val="22"/>
              </w:rPr>
              <w:t xml:space="preserve">Deal No. _____________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Pride International, Inc.</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pPr>
      <w:r>
        <w:rPr/>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2000-08-03T15:44:00Z</dcterms:created>
  <dc:creator>ECT</dc:creator>
  <dc:description/>
  <dc:language>en-CA</dc:language>
  <cp:lastModifiedBy>John A. Peyton</cp:lastModifiedBy>
  <cp:lastPrinted>2000-07-14T09:38:00Z</cp:lastPrinted>
  <dcterms:modified xsi:type="dcterms:W3CDTF">2000-08-03T15:44:00Z</dcterms:modified>
  <cp:revision>2</cp:revision>
  <dc:subject/>
  <dc:title> </dc:title>
</cp:coreProperties>
</file>