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tab/>
        <w:tab/>
        <w:tab/>
        <w:tab/>
        <w:tab/>
      </w:r>
    </w:p>
    <w:p>
      <w:pPr>
        <w:pStyle w:val="Heading1"/>
        <w:ind w:hanging="0" w:start="0"/>
        <w:rPr/>
      </w:pPr>
      <w:r>
        <w:rPr/>
        <w:t>CONFIRMATION</w:t>
      </w:r>
    </w:p>
    <w:p>
      <w:pPr>
        <w:pStyle w:val="Normal"/>
        <w:jc w:val="center"/>
        <w:rPr>
          <w:sz w:val="22"/>
        </w:rPr>
      </w:pPr>
      <w:r>
        <w:rPr>
          <w:sz w:val="22"/>
        </w:rPr>
        <w:t>Cap</w:t>
      </w:r>
    </w:p>
    <w:p>
      <w:pPr>
        <w:pStyle w:val="Normal"/>
        <w:rPr>
          <w:sz w:val="22"/>
        </w:rPr>
      </w:pPr>
      <w:r>
        <w:rPr>
          <w:sz w:val="22"/>
        </w:rPr>
      </w:r>
    </w:p>
    <w:p>
      <w:pPr>
        <w:pStyle w:val="Normal"/>
        <w:rPr>
          <w:sz w:val="22"/>
        </w:rPr>
      </w:pPr>
      <w:r>
        <w:rPr>
          <w:sz w:val="22"/>
        </w:rPr>
        <w:t>Date:</w:t>
        <w:tab/>
        <w:tab/>
        <w:t>July 14, 2000</w:t>
      </w:r>
    </w:p>
    <w:p>
      <w:pPr>
        <w:pStyle w:val="Normal"/>
        <w:rPr>
          <w:sz w:val="22"/>
        </w:rPr>
      </w:pPr>
      <w:r>
        <w:rPr>
          <w:sz w:val="22"/>
        </w:rPr>
        <w:t>To:</w:t>
        <w:tab/>
        <w:tab/>
        <w:t>Pride International, Inc. ("Party B")</w:t>
      </w:r>
    </w:p>
    <w:p>
      <w:pPr>
        <w:pStyle w:val="Normal"/>
        <w:rPr>
          <w:sz w:val="22"/>
        </w:rPr>
      </w:pPr>
      <w:r>
        <w:rPr>
          <w:sz w:val="22"/>
        </w:rPr>
        <w:t>Attention:</w:t>
        <w:tab/>
        <w:t>Paul A. Bragg</w:t>
      </w:r>
    </w:p>
    <w:p>
      <w:pPr>
        <w:pStyle w:val="Normal"/>
        <w:rPr>
          <w:sz w:val="22"/>
        </w:rPr>
      </w:pPr>
      <w:r>
        <w:rPr>
          <w:sz w:val="22"/>
        </w:rPr>
        <w:t>Fax No.:</w:t>
        <w:tab/>
        <w:t>(713) 952-6916</w:t>
      </w:r>
    </w:p>
    <w:p>
      <w:pPr>
        <w:pStyle w:val="Normal"/>
        <w:rPr>
          <w:sz w:val="22"/>
        </w:rPr>
      </w:pPr>
      <w:r>
        <w:rPr>
          <w:sz w:val="22"/>
        </w:rPr>
        <w:t>From:</w:t>
        <w:tab/>
        <w:tab/>
        <w:t>Enron North America Corp. (“Party A")</w:t>
      </w:r>
    </w:p>
    <w:p>
      <w:pPr>
        <w:pStyle w:val="Normal"/>
        <w:rPr>
          <w:sz w:val="22"/>
        </w:rPr>
      </w:pPr>
      <w:r>
        <w:rPr>
          <w:sz w:val="22"/>
        </w:rPr>
        <w:t>Re:</w:t>
        <w:tab/>
        <w:tab/>
        <w:t>Cap Option</w:t>
      </w:r>
    </w:p>
    <w:p>
      <w:pPr>
        <w:pStyle w:val="Normal"/>
        <w:rPr/>
      </w:pPr>
      <w:r>
        <w:rPr>
          <w:sz w:val="22"/>
        </w:rPr>
        <w:t xml:space="preserve">Contract No.: </w:t>
        <w:tab/>
      </w:r>
      <w:r>
        <w:rPr>
          <w:sz w:val="22"/>
          <w:u w:val="single"/>
        </w:rPr>
        <w:tab/>
        <w:tab/>
      </w:r>
    </w:p>
    <w:p>
      <w:pPr>
        <w:pStyle w:val="Normal"/>
        <w:rPr>
          <w:sz w:val="22"/>
          <w:u w:val="single"/>
        </w:rPr>
      </w:pPr>
      <w:r>
        <w:rPr>
          <w:sz w:val="22"/>
          <w:u w:val="single"/>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July 14, 2000,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Cap</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Effective Date:</w:t>
            </w:r>
          </w:p>
        </w:tc>
        <w:tc>
          <w:tcPr>
            <w:tcW w:w="5958" w:type="dxa"/>
            <w:tcBorders/>
          </w:tcPr>
          <w:p>
            <w:pPr>
              <w:pStyle w:val="Normal"/>
              <w:rPr>
                <w:sz w:val="22"/>
              </w:rPr>
            </w:pPr>
            <w:r>
              <w:rPr>
                <w:sz w:val="22"/>
              </w:rPr>
              <w:t>The date, which shall not be after July 21, 2000, which Party A notifies Party B is the Effective Date.  Provided that if Party A has not notified Party B of the Effective Date before the close of business on July 21, 2000, this Transaction shall not become effective and shall be of no further force or effect.</w:t>
            </w:r>
          </w:p>
          <w:p>
            <w:pPr>
              <w:pStyle w:val="Normal"/>
              <w:rPr>
                <w:sz w:val="22"/>
              </w:rPr>
            </w:pPr>
            <w:r>
              <w:rPr>
                <w:sz w:val="22"/>
              </w:rPr>
            </w:r>
          </w:p>
        </w:tc>
      </w:tr>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t>1 Rig multiplied by the number of days in the Calculation Period</w:t>
            </w:r>
          </w:p>
        </w:tc>
      </w:tr>
    </w:tbl>
    <w:p>
      <w:pPr>
        <w:pStyle w:val="Normal"/>
        <w:rPr>
          <w:sz w:val="22"/>
        </w:rPr>
      </w:pPr>
      <w:r>
        <w:rPr>
          <w:sz w:val="22"/>
        </w:rPr>
      </w:r>
    </w:p>
    <w:p>
      <w:pPr>
        <w:pStyle w:val="Normal"/>
        <w:rPr>
          <w:sz w:val="22"/>
        </w:rPr>
      </w:pPr>
      <w:r>
        <w:rPr>
          <w:sz w:val="22"/>
        </w:rPr>
        <w:t>Commodity:</w:t>
        <w:tab/>
        <w:tab/>
        <w:tab/>
        <w:tab/>
        <w:t xml:space="preserve">Drilling Rig Day Rate </w:t>
      </w:r>
    </w:p>
    <w:p>
      <w:pPr>
        <w:pStyle w:val="Normal"/>
        <w:rPr>
          <w:sz w:val="22"/>
        </w:rPr>
      </w:pPr>
      <w:r>
        <w:rPr>
          <w:sz w:val="22"/>
        </w:rPr>
      </w:r>
    </w:p>
    <w:p>
      <w:pPr>
        <w:pStyle w:val="Normal"/>
        <w:rPr>
          <w:sz w:val="22"/>
        </w:rPr>
      </w:pPr>
      <w:r>
        <w:rPr>
          <w:sz w:val="22"/>
        </w:rPr>
        <w:t>Commodity Unit:</w:t>
        <w:tab/>
        <w:tab/>
        <w:tab/>
        <w:t>Rig Day</w:t>
      </w:r>
    </w:p>
    <w:p>
      <w:pPr>
        <w:pStyle w:val="Normal"/>
        <w:rPr>
          <w:sz w:val="22"/>
        </w:rPr>
      </w:pPr>
      <w:r>
        <w:rPr>
          <w:sz w:val="22"/>
        </w:rPr>
      </w:r>
    </w:p>
    <w:p>
      <w:pPr>
        <w:pStyle w:val="Normal"/>
        <w:rPr>
          <w:sz w:val="22"/>
        </w:rPr>
      </w:pPr>
      <w:r>
        <w:rPr>
          <w:sz w:val="22"/>
        </w:rPr>
        <w:t>Trade Date:</w:t>
        <w:tab/>
        <w:tab/>
        <w:tab/>
        <w:tab/>
        <w:t>July 14, 2000</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t>Monthly periods, with the first Calculation Period commencing on January 1, 2001 and the final Calculation Period ending on March 31, 2001</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pPr>
            <w:r>
              <w:rPr>
                <w:sz w:val="22"/>
              </w:rPr>
              <w:t>The fifth (5</w:t>
            </w:r>
            <w:r>
              <w:rPr>
                <w:sz w:val="22"/>
                <w:vertAlign w:val="superscript"/>
              </w:rPr>
              <w:t>th</w:t>
            </w:r>
            <w:r>
              <w:rPr>
                <w:sz w:val="22"/>
              </w:rPr>
              <w:t>) Business Day following the date on which the Floating Price is determinable</w:t>
            </w:r>
          </w:p>
        </w:tc>
      </w:tr>
      <w:tr>
        <w:trPr/>
        <w:tc>
          <w:tcPr>
            <w:tcW w:w="3618" w:type="dxa"/>
            <w:tcBorders/>
          </w:tcPr>
          <w:p>
            <w:pPr>
              <w:pStyle w:val="Normal"/>
              <w:snapToGrid w:val="false"/>
              <w:rPr>
                <w:sz w:val="22"/>
              </w:rPr>
            </w:pPr>
            <w:r>
              <w:rPr>
                <w:sz w:val="22"/>
              </w:rPr>
            </w:r>
          </w:p>
        </w:tc>
        <w:tc>
          <w:tcPr>
            <w:tcW w:w="5958" w:type="dxa"/>
            <w:tcBorders/>
          </w:tcPr>
          <w:p>
            <w:pPr>
              <w:pStyle w:val="Normal"/>
              <w:snapToGrid w:val="false"/>
              <w:rPr>
                <w:sz w:val="22"/>
              </w:rPr>
            </w:pPr>
            <w:r>
              <w:rPr>
                <w:sz w:val="22"/>
              </w:rPr>
            </w:r>
          </w:p>
        </w:tc>
      </w:tr>
      <w:tr>
        <w:trPr/>
        <w:tc>
          <w:tcPr>
            <w:tcW w:w="3618" w:type="dxa"/>
            <w:tcBorders/>
          </w:tcPr>
          <w:p>
            <w:pPr>
              <w:pStyle w:val="Normal"/>
              <w:rPr>
                <w:sz w:val="22"/>
              </w:rPr>
            </w:pPr>
            <w:r>
              <w:rPr>
                <w:sz w:val="22"/>
              </w:rPr>
              <w:t>Premium Payment Details:</w:t>
            </w:r>
          </w:p>
        </w:tc>
        <w:tc>
          <w:tcPr>
            <w:tcW w:w="5958" w:type="dxa"/>
            <w:tcBorders/>
          </w:tcPr>
          <w:p>
            <w:pPr>
              <w:pStyle w:val="Normal"/>
              <w:rPr>
                <w:sz w:val="22"/>
              </w:rPr>
            </w:pPr>
            <w:r>
              <w:rPr>
                <w:sz w:val="22"/>
              </w:rPr>
              <w:t>On or before the date two (2) Business Days following the Effective Date, Party A  shall pay Party B US Dollar $250,000.00</w:t>
            </w:r>
          </w:p>
        </w:tc>
      </w:tr>
    </w:tbl>
    <w:p>
      <w:pPr>
        <w:pStyle w:val="Normal"/>
        <w:ind w:hanging="3600" w:start="3600" w:end="0"/>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t>Party A</w:t>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t>Party B</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708" w:type="dxa"/>
            <w:gridSpan w:val="2"/>
            <w:tcBorders/>
          </w:tcPr>
          <w:p>
            <w:pPr>
              <w:pStyle w:val="Normal"/>
              <w:rPr>
                <w:sz w:val="22"/>
              </w:rPr>
            </w:pPr>
            <w:r>
              <w:rPr>
                <w:sz w:val="22"/>
              </w:rPr>
              <w:t>Cap 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rPr>
                <w:sz w:val="22"/>
              </w:rPr>
            </w:pPr>
            <w:r>
              <w:rPr>
                <w:sz w:val="22"/>
              </w:rPr>
              <w:t>US Dollars $80,000.00 per Rig Day</w:t>
            </w:r>
          </w:p>
        </w:tc>
      </w:tr>
      <w:tr>
        <w:trPr/>
        <w:tc>
          <w:tcPr>
            <w:tcW w:w="3618" w:type="dxa"/>
            <w:tcBorders/>
          </w:tcPr>
          <w:p>
            <w:pPr>
              <w:pStyle w:val="Normal"/>
              <w:rPr>
                <w:sz w:val="22"/>
              </w:rPr>
            </w:pPr>
            <w:r>
              <w:rPr>
                <w:sz w:val="22"/>
              </w:rPr>
              <w:t>Floating Price:</w:t>
            </w:r>
          </w:p>
        </w:tc>
        <w:tc>
          <w:tcPr>
            <w:tcW w:w="5958" w:type="dxa"/>
            <w:gridSpan w:val="2"/>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mean of the high and low Rig Day Rates for Gulf of Mexico: Jackups: Over 300’ – C as published by Offshore Data Services, Inc., or its successor, in the first issue of Offshore Rig Locator, or any sucessor publication, published the month following the applicable Calculation Period, on the page entitled “Competitive Offshore Rig Day Rates”</w:t>
            </w:r>
            <w:r>
              <w:rPr>
                <w:sz w:val="22"/>
              </w:rPr>
              <w:fldChar w:fldCharType="end"/>
            </w:r>
          </w:p>
        </w:tc>
      </w:tr>
    </w:tbl>
    <w:p>
      <w:pPr>
        <w:pStyle w:val="Normal"/>
        <w:jc w:val="both"/>
        <w:rPr>
          <w:sz w:val="22"/>
        </w:rPr>
      </w:pPr>
      <w:r>
        <w:rPr>
          <w:sz w:val="22"/>
        </w:rPr>
      </w:r>
    </w:p>
    <w:p>
      <w:pPr>
        <w:pStyle w:val="BodyText"/>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sz w:val="22"/>
                <w:u w:val="single"/>
              </w:rPr>
            </w:pPr>
            <w:r>
              <w:rPr>
                <w:sz w:val="22"/>
              </w:rPr>
              <w:t>Name:  Jean Mrha</w:t>
            </w:r>
          </w:p>
          <w:p>
            <w:pPr>
              <w:pStyle w:val="Normal"/>
              <w:rPr>
                <w:sz w:val="22"/>
              </w:rPr>
            </w:pPr>
            <w:r>
              <w:rPr>
                <w:sz w:val="22"/>
              </w:rPr>
              <w:t>Title:  Vice-President</w:t>
            </w:r>
          </w:p>
        </w:tc>
        <w:tc>
          <w:tcPr>
            <w:tcW w:w="5292" w:type="dxa"/>
            <w:tcBorders/>
          </w:tcPr>
          <w:p>
            <w:pPr>
              <w:pStyle w:val="Normal"/>
              <w:rPr>
                <w:sz w:val="22"/>
              </w:rPr>
            </w:pPr>
            <w:r>
              <w:rPr>
                <w:sz w:val="22"/>
              </w:rPr>
              <w:t xml:space="preserve">Deal No. _____________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Pride International,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pPr>
      <w:r>
        <w:rP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2000-07-14T19:10:00Z</dcterms:created>
  <dc:creator>ECT</dc:creator>
  <dc:description/>
  <dc:language>en-CA</dc:language>
  <cp:lastModifiedBy>mtaylo1</cp:lastModifiedBy>
  <cp:lastPrinted>2000-07-14T16:35:00Z</cp:lastPrinted>
  <dcterms:modified xsi:type="dcterms:W3CDTF">2000-07-14T19:10:00Z</dcterms:modified>
  <cp:revision>2</cp:revision>
  <dc:subject/>
  <dc:title> </dc:title>
</cp:coreProperties>
</file>