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-50165</wp:posOffset>
                </wp:positionH>
                <wp:positionV relativeFrom="paragraph">
                  <wp:posOffset>86995</wp:posOffset>
                </wp:positionV>
                <wp:extent cx="6409690" cy="1837690"/>
                <wp:effectExtent l="0" t="0" r="0" b="0"/>
                <wp:wrapNone/>
                <wp:docPr id="1" name="Frame1"/>
                <a:graphic xmlns:a="http://schemas.openxmlformats.org/drawingml/2006/main">
                  <a:graphicData uri="http://schemas.microsoft.com/office/word/2010/wordprocessingShape">
                    <wps:wsp>
                      <wps:cNvSpPr txBox="1"/>
                      <wps:spPr>
                        <a:xfrm>
                          <a:off x="0" y="0"/>
                          <a:ext cx="6409690" cy="1837690"/>
                        </a:xfrm>
                        <a:prstGeom prst="rect"/>
                        <a:solidFill>
                          <a:srgbClr val="FFFFFF"/>
                        </a:solidFill>
                        <a:ln w="9525">
                          <a:solidFill>
                            <a:srgbClr val="000000"/>
                          </a:solidFill>
                        </a:ln>
                      </wps:spPr>
                      <wps:txbx>
                        <w:txbxContent>
                          <w:p>
                            <w:pPr>
                              <w:pStyle w:val="Heading1"/>
                              <w:ind w:hanging="0" w:start="0"/>
                              <w:rPr/>
                            </w:pPr>
                            <w:r>
                              <w:rPr/>
                            </w:r>
                          </w:p>
                          <w:p>
                            <w:pPr>
                              <w:pStyle w:val="Heading1"/>
                              <w:ind w:hanging="0" w:start="0"/>
                              <w:rPr>
                                <w:sz w:val="62"/>
                              </w:rPr>
                            </w:pPr>
                            <w:r>
                              <w:rPr>
                                <w:sz w:val="62"/>
                              </w:rPr>
                              <w:t>Pricing in Electric Markets</w:t>
                            </w:r>
                          </w:p>
                          <w:p>
                            <w:pPr>
                              <w:pStyle w:val="Heading1"/>
                              <w:ind w:hanging="0" w:start="0"/>
                              <w:rPr>
                                <w:sz w:val="36"/>
                              </w:rPr>
                            </w:pPr>
                            <w:r>
                              <w:rPr>
                                <w:sz w:val="36"/>
                              </w:rPr>
                              <w:t>Strategies for Managing the Volatility and Risks of Today’s Wholesale, Retail and Regulated Electric Markets</w:t>
                            </w:r>
                          </w:p>
                          <w:p>
                            <w:pPr>
                              <w:pStyle w:val="Normal"/>
                              <w:jc w:val="center"/>
                              <w:rPr>
                                <w:b/>
                                <w:sz w:val="36"/>
                              </w:rPr>
                            </w:pPr>
                            <w:r>
                              <w:rPr>
                                <w:b/>
                                <w:sz w:val="36"/>
                              </w:rPr>
                            </w:r>
                          </w:p>
                          <w:p>
                            <w:pPr>
                              <w:pStyle w:val="Normal"/>
                              <w:jc w:val="center"/>
                              <w:rPr>
                                <w:b/>
                              </w:rPr>
                            </w:pPr>
                            <w:r>
                              <w:rPr>
                                <w:b/>
                              </w:rPr>
                            </w:r>
                          </w:p>
                          <w:p>
                            <w:pPr>
                              <w:pStyle w:val="Normal"/>
                              <w:jc w:val="center"/>
                              <w:rPr>
                                <w:b/>
                              </w:rPr>
                            </w:pPr>
                            <w:r>
                              <w:rPr>
                                <w:b/>
                              </w:rPr>
                              <w:t>September 20-21, 2001 *** Westin Peachtree Plaza *** Atlanta, GA</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504.7pt;height:144.7pt;mso-wrap-distance-left:9.05pt;mso-wrap-distance-right:9.05pt;mso-wrap-distance-top:0pt;mso-wrap-distance-bottom:0pt;margin-top:6.85pt;mso-position-vertical-relative:text;margin-left:-3.95pt;mso-position-horizontal-relative:text">
                <v:textbox>
                  <w:txbxContent>
                    <w:p>
                      <w:pPr>
                        <w:pStyle w:val="Heading1"/>
                        <w:ind w:hanging="0" w:start="0"/>
                        <w:rPr/>
                      </w:pPr>
                      <w:r>
                        <w:rPr/>
                      </w:r>
                    </w:p>
                    <w:p>
                      <w:pPr>
                        <w:pStyle w:val="Heading1"/>
                        <w:ind w:hanging="0" w:start="0"/>
                        <w:rPr>
                          <w:sz w:val="62"/>
                        </w:rPr>
                      </w:pPr>
                      <w:r>
                        <w:rPr>
                          <w:sz w:val="62"/>
                        </w:rPr>
                        <w:t>Pricing in Electric Markets</w:t>
                      </w:r>
                    </w:p>
                    <w:p>
                      <w:pPr>
                        <w:pStyle w:val="Heading1"/>
                        <w:ind w:hanging="0" w:start="0"/>
                        <w:rPr>
                          <w:sz w:val="36"/>
                        </w:rPr>
                      </w:pPr>
                      <w:r>
                        <w:rPr>
                          <w:sz w:val="36"/>
                        </w:rPr>
                        <w:t>Strategies for Managing the Volatility and Risks of Today’s Wholesale, Retail and Regulated Electric Markets</w:t>
                      </w:r>
                    </w:p>
                    <w:p>
                      <w:pPr>
                        <w:pStyle w:val="Normal"/>
                        <w:jc w:val="center"/>
                        <w:rPr>
                          <w:b/>
                          <w:sz w:val="36"/>
                        </w:rPr>
                      </w:pPr>
                      <w:r>
                        <w:rPr>
                          <w:b/>
                          <w:sz w:val="36"/>
                        </w:rPr>
                      </w:r>
                    </w:p>
                    <w:p>
                      <w:pPr>
                        <w:pStyle w:val="Normal"/>
                        <w:jc w:val="center"/>
                        <w:rPr>
                          <w:b/>
                        </w:rPr>
                      </w:pPr>
                      <w:r>
                        <w:rPr>
                          <w:b/>
                        </w:rPr>
                      </w:r>
                    </w:p>
                    <w:p>
                      <w:pPr>
                        <w:pStyle w:val="Normal"/>
                        <w:jc w:val="center"/>
                        <w:rPr>
                          <w:b/>
                        </w:rPr>
                      </w:pPr>
                      <w:r>
                        <w:rPr>
                          <w:b/>
                        </w:rPr>
                        <w:t>September 20-21, 2001 *** Westin Peachtree Plaza *** Atlanta, GA</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xbxContent>
                </v:textbox>
                <w10:wrap type="none"/>
              </v:rect>
            </w:pict>
          </mc:Fallback>
        </mc:AlternateContent>
      </w:r>
    </w:p>
    <w:p>
      <w:pPr>
        <w:pStyle w:val="Normal"/>
        <w:rPr>
          <w:lang w:val="en-CA"/>
        </w:rPr>
      </w:pP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Pre-Conference Workshop A – Thursday, September 20, 2001</w:t>
      </w:r>
    </w:p>
    <w:p>
      <w:pPr>
        <w:pStyle w:val="Heading6"/>
        <w:ind w:hanging="0" w:start="0"/>
        <w:rPr/>
      </w:pPr>
      <w:r>
        <w:rPr/>
        <w:t>Develop Pricing Options for</w:t>
      </w:r>
    </w:p>
    <w:p>
      <w:pPr>
        <w:pStyle w:val="Heading6"/>
        <w:ind w:hanging="0" w:start="0"/>
        <w:rPr/>
      </w:pPr>
      <w:r>
        <w:rPr/>
        <w:t>Premium and Interruptible Service</w:t>
      </w:r>
    </w:p>
    <w:p>
      <w:pPr>
        <w:pStyle w:val="Normal"/>
        <w:rPr/>
      </w:pPr>
      <w:r>
        <w:rPr/>
        <w:t>Electric service can be differentiated on the basis of reliability and power quality.  Some customers require a premium level of service (in terms of power quality and reliability) while other customers seek cost savings through planned interruptions to service.  Explore the issues that arise when designing and implementing special rate options.</w:t>
      </w:r>
    </w:p>
    <w:p>
      <w:pPr>
        <w:pStyle w:val="Normal"/>
        <w:rPr/>
      </w:pPr>
      <w:r>
        <w:rPr/>
      </w:r>
    </w:p>
    <w:p>
      <w:pPr>
        <w:pStyle w:val="Normal"/>
        <w:rPr/>
      </w:pPr>
      <w:r>
        <w:rPr/>
        <w:t xml:space="preserve">7:30 </w:t>
      </w:r>
      <w:r>
        <w:rPr>
          <w:i/>
        </w:rPr>
        <w:t>Workshop Registration and Continental Breakfast</w:t>
      </w:r>
    </w:p>
    <w:p>
      <w:pPr>
        <w:pStyle w:val="Normal"/>
        <w:rPr/>
      </w:pPr>
      <w:r>
        <w:rPr/>
      </w:r>
    </w:p>
    <w:p>
      <w:pPr>
        <w:pStyle w:val="Normal"/>
        <w:rPr/>
      </w:pPr>
      <w:r>
        <w:rPr/>
        <w:t xml:space="preserve">8:30 </w:t>
      </w:r>
      <w:r>
        <w:rPr>
          <w:i/>
        </w:rPr>
        <w:t>Workshop Leader’s Welcome and Opening Remarks</w:t>
      </w:r>
    </w:p>
    <w:p>
      <w:pPr>
        <w:pStyle w:val="Normal"/>
        <w:rPr/>
      </w:pPr>
      <w:r>
        <w:rPr/>
      </w:r>
    </w:p>
    <w:p>
      <w:pPr>
        <w:pStyle w:val="Heading4"/>
        <w:ind w:hanging="0" w:start="0"/>
        <w:rPr/>
      </w:pPr>
      <w:r>
        <w:rPr/>
        <w:t>I.</w:t>
        <w:tab/>
        <w:t xml:space="preserve">Differentiating Electric Service on the Basis of Reliability   </w:t>
      </w:r>
    </w:p>
    <w:p>
      <w:pPr>
        <w:pStyle w:val="Normal"/>
        <w:numPr>
          <w:ilvl w:val="0"/>
          <w:numId w:val="5"/>
        </w:numPr>
        <w:tabs>
          <w:tab w:val="clear" w:pos="720"/>
          <w:tab w:val="left" w:pos="1080" w:leader="none"/>
        </w:tabs>
        <w:ind w:hanging="360" w:start="1080" w:end="0"/>
        <w:rPr/>
      </w:pPr>
      <w:r>
        <w:rPr/>
        <w:t>Objectives of service differentiation</w:t>
      </w:r>
    </w:p>
    <w:p>
      <w:pPr>
        <w:pStyle w:val="Normal"/>
        <w:numPr>
          <w:ilvl w:val="0"/>
          <w:numId w:val="5"/>
        </w:numPr>
        <w:tabs>
          <w:tab w:val="clear" w:pos="720"/>
          <w:tab w:val="left" w:pos="1080" w:leader="none"/>
        </w:tabs>
        <w:ind w:hanging="360" w:start="1080" w:end="0"/>
        <w:rPr/>
      </w:pPr>
      <w:r>
        <w:rPr/>
        <w:t>Developing a standard service criterion</w:t>
      </w:r>
    </w:p>
    <w:p>
      <w:pPr>
        <w:pStyle w:val="Normal"/>
        <w:numPr>
          <w:ilvl w:val="0"/>
          <w:numId w:val="5"/>
        </w:numPr>
        <w:tabs>
          <w:tab w:val="clear" w:pos="720"/>
          <w:tab w:val="left" w:pos="1080" w:leader="none"/>
        </w:tabs>
        <w:ind w:hanging="360" w:start="1080" w:end="0"/>
        <w:rPr/>
      </w:pPr>
      <w:r>
        <w:rPr/>
        <w:t>Establish service reliability tiers</w:t>
      </w:r>
    </w:p>
    <w:p>
      <w:pPr>
        <w:pStyle w:val="Normal"/>
        <w:ind w:start="720" w:end="0"/>
        <w:rPr/>
      </w:pPr>
      <w:r>
        <w:rPr/>
      </w:r>
    </w:p>
    <w:p>
      <w:pPr>
        <w:pStyle w:val="Heading4"/>
        <w:ind w:hanging="0" w:start="0"/>
        <w:rPr/>
      </w:pPr>
      <w:r>
        <w:rPr/>
        <w:t>II.</w:t>
        <w:tab/>
        <w:t xml:space="preserve">Pricing Reliability-Based Services </w:t>
      </w:r>
    </w:p>
    <w:p>
      <w:pPr>
        <w:pStyle w:val="Normal"/>
        <w:numPr>
          <w:ilvl w:val="0"/>
          <w:numId w:val="19"/>
        </w:numPr>
        <w:tabs>
          <w:tab w:val="clear" w:pos="720"/>
          <w:tab w:val="left" w:pos="1080" w:leader="none"/>
        </w:tabs>
        <w:ind w:hanging="360" w:start="1080" w:end="0"/>
        <w:rPr/>
      </w:pPr>
      <w:r>
        <w:rPr/>
        <w:t>Develop premium service pricing options</w:t>
      </w:r>
    </w:p>
    <w:p>
      <w:pPr>
        <w:pStyle w:val="Normal"/>
        <w:numPr>
          <w:ilvl w:val="0"/>
          <w:numId w:val="19"/>
        </w:numPr>
        <w:tabs>
          <w:tab w:val="clear" w:pos="720"/>
          <w:tab w:val="left" w:pos="1080" w:leader="none"/>
        </w:tabs>
        <w:ind w:hanging="360" w:start="1080" w:end="0"/>
        <w:rPr/>
      </w:pPr>
      <w:r>
        <w:rPr/>
        <w:t>Strategies for reliability-based pricing</w:t>
      </w:r>
    </w:p>
    <w:p>
      <w:pPr>
        <w:pStyle w:val="Normal"/>
        <w:ind w:start="720" w:end="0"/>
        <w:rPr/>
      </w:pPr>
      <w:r>
        <w:rPr/>
      </w:r>
    </w:p>
    <w:p>
      <w:pPr>
        <w:pStyle w:val="Heading4"/>
        <w:ind w:hanging="0" w:start="0"/>
        <w:rPr/>
      </w:pPr>
      <w:r>
        <w:rPr/>
        <w:t>III.</w:t>
        <w:tab/>
        <w:t xml:space="preserve">Pricing Options for Interruptible Service </w:t>
      </w:r>
    </w:p>
    <w:p>
      <w:pPr>
        <w:pStyle w:val="Normal"/>
        <w:numPr>
          <w:ilvl w:val="0"/>
          <w:numId w:val="30"/>
        </w:numPr>
        <w:tabs>
          <w:tab w:val="clear" w:pos="720"/>
          <w:tab w:val="left" w:pos="1080" w:leader="none"/>
        </w:tabs>
        <w:ind w:hanging="360" w:start="1080" w:end="0"/>
        <w:rPr/>
      </w:pPr>
      <w:r>
        <w:rPr/>
        <w:t>Identify customers who may take interruptible service</w:t>
      </w:r>
    </w:p>
    <w:p>
      <w:pPr>
        <w:pStyle w:val="Normal"/>
        <w:numPr>
          <w:ilvl w:val="0"/>
          <w:numId w:val="30"/>
        </w:numPr>
        <w:tabs>
          <w:tab w:val="clear" w:pos="720"/>
          <w:tab w:val="left" w:pos="1080" w:leader="none"/>
        </w:tabs>
        <w:ind w:hanging="360" w:start="1080" w:end="0"/>
        <w:rPr/>
      </w:pPr>
      <w:r>
        <w:rPr/>
        <w:t>Develop an interruptible service contract</w:t>
      </w:r>
    </w:p>
    <w:p>
      <w:pPr>
        <w:pStyle w:val="Normal"/>
        <w:numPr>
          <w:ilvl w:val="0"/>
          <w:numId w:val="30"/>
        </w:numPr>
        <w:tabs>
          <w:tab w:val="clear" w:pos="720"/>
          <w:tab w:val="left" w:pos="1080" w:leader="none"/>
        </w:tabs>
        <w:ind w:hanging="360" w:start="1080" w:end="0"/>
        <w:rPr/>
      </w:pPr>
      <w:r>
        <w:rPr/>
        <w:t>Establish conditions under which the contract may be amended</w:t>
      </w:r>
    </w:p>
    <w:p>
      <w:pPr>
        <w:pStyle w:val="Normal"/>
        <w:ind w:start="720" w:end="0"/>
        <w:rPr/>
      </w:pPr>
      <w:r>
        <w:rPr/>
      </w:r>
    </w:p>
    <w:p>
      <w:pPr>
        <w:pStyle w:val="Heading4"/>
        <w:ind w:hanging="0" w:start="0"/>
        <w:rPr/>
      </w:pPr>
      <w:r>
        <w:rPr/>
        <w:t>IV.</w:t>
        <w:tab/>
        <w:t xml:space="preserve">Avoid Cross-Subsidies when Developing Reliability-Based Pricing Options </w:t>
      </w:r>
    </w:p>
    <w:p>
      <w:pPr>
        <w:pStyle w:val="Normal"/>
        <w:numPr>
          <w:ilvl w:val="0"/>
          <w:numId w:val="18"/>
        </w:numPr>
        <w:tabs>
          <w:tab w:val="clear" w:pos="720"/>
          <w:tab w:val="left" w:pos="1080" w:leader="none"/>
        </w:tabs>
        <w:ind w:hanging="360" w:start="1080" w:end="0"/>
        <w:rPr/>
      </w:pPr>
      <w:r>
        <w:rPr/>
        <w:t>How to develop rates that benefit one customer without harming others</w:t>
      </w:r>
    </w:p>
    <w:p>
      <w:pPr>
        <w:pStyle w:val="Normal"/>
        <w:numPr>
          <w:ilvl w:val="0"/>
          <w:numId w:val="18"/>
        </w:numPr>
        <w:tabs>
          <w:tab w:val="clear" w:pos="720"/>
          <w:tab w:val="left" w:pos="1080" w:leader="none"/>
        </w:tabs>
        <w:ind w:hanging="360" w:start="1080" w:end="0"/>
        <w:rPr/>
      </w:pPr>
      <w:r>
        <w:rPr/>
        <w:t>Spread costs evenly over your customer base so as not to unduly burden any one class</w:t>
      </w:r>
    </w:p>
    <w:p>
      <w:pPr>
        <w:pStyle w:val="Normal"/>
        <w:rPr/>
      </w:pPr>
      <w:r>
        <w:rPr/>
      </w:r>
    </w:p>
    <w:p>
      <w:pPr>
        <w:pStyle w:val="Normal"/>
        <w:rPr/>
      </w:pPr>
      <w:r>
        <w:rPr/>
        <w:t xml:space="preserve">12:00 </w:t>
      </w:r>
      <w:r>
        <w:rPr>
          <w:i/>
        </w:rPr>
        <w:t>Close of Workshop</w:t>
      </w:r>
    </w:p>
    <w:p>
      <w:pPr>
        <w:pStyle w:val="Normal"/>
        <w:rPr/>
      </w:pPr>
      <w:r>
        <w:rPr/>
      </w:r>
    </w:p>
    <w:p>
      <w:pPr>
        <w:pStyle w:val="Normal"/>
        <w:rPr>
          <w:i/>
          <w:i/>
        </w:rPr>
      </w:pPr>
      <w:r>
        <w:rPr>
          <w:i/>
        </w:rPr>
        <w:t>There will be a 30-minute networking and refreshment break at 10:00 a.m. – Sponsorship Opportunity</w:t>
      </w:r>
    </w:p>
    <w:p>
      <w:pPr>
        <w:pStyle w:val="Normal"/>
        <w:rPr>
          <w:b/>
        </w:rPr>
      </w:pPr>
      <w:r>
        <w:rPr>
          <w:b/>
        </w:rPr>
      </w:r>
    </w:p>
    <w:p>
      <w:pPr>
        <w:pStyle w:val="Normal"/>
        <w:rPr/>
      </w:pPr>
      <w:r>
        <w:rPr>
          <w:rFonts w:eastAsia="Symbol" w:cs="Symbol" w:ascii="Symbol" w:hAnsi="Symbol"/>
          <w:b/>
        </w:rPr>
        <w:sym w:font="Symbol" w:char="f02d"/>
      </w:r>
      <w:r>
        <w:rPr>
          <w:b/>
        </w:rPr>
        <w:t xml:space="preserve"> </w:t>
      </w:r>
      <w:r>
        <w:rPr>
          <w:b/>
        </w:rPr>
        <w:t>About Your Workshop Leaders –</w:t>
      </w:r>
    </w:p>
    <w:p>
      <w:pPr>
        <w:pStyle w:val="Normal"/>
        <w:rPr>
          <w:b/>
          <w:i/>
          <w:i/>
        </w:rPr>
      </w:pPr>
      <w:r>
        <w:rPr>
          <w:b/>
          <w:i/>
        </w:rPr>
      </w:r>
    </w:p>
    <w:p>
      <w:pPr>
        <w:pStyle w:val="Normal"/>
        <w:rPr/>
      </w:pPr>
      <w:r>
        <w:rPr>
          <w:b/>
        </w:rPr>
        <w:t>Larry J. Vogt</w:t>
      </w:r>
      <w:r>
        <w:rPr/>
        <w:t xml:space="preserve">, P.E., is Manager – Pricing Planning &amp; Implementation for </w:t>
      </w:r>
      <w:r>
        <w:rPr>
          <w:b/>
        </w:rPr>
        <w:t>Mississippi Power Company, a Southern Company</w:t>
      </w:r>
      <w:r>
        <w:rPr/>
        <w:t xml:space="preserve">, where he is responsible for developing strategic electric service pricing concepts and applications. He was previously with ABB Power T&amp;D Co. as Manager of the Distribution Technologies Center and with Southern Company Services as Principal Engineer – Rates &amp; Regulation. He has also held positions at Public Service Indiana and Louisville Gas &amp; Electric Co. Mr. Vogt has over 25 years of experience in the electric utility business in the areas of pricing, cost analysis, marketing, demand-side management and distribution planning. He received both a BSEE and MEngEE from the University of Louisville.  He is a member of AEE and IEEE and author of the book </w:t>
      </w:r>
      <w:r>
        <w:rPr>
          <w:i/>
        </w:rPr>
        <w:t>Electrical Energy Management</w:t>
      </w:r>
      <w:r>
        <w:rPr/>
        <w:t xml:space="preserve"> and the forthcoming book </w:t>
      </w:r>
      <w:r>
        <w:rPr>
          <w:i/>
        </w:rPr>
        <w:t>Electricity Pricing:  Engineering Methodologies and Practice</w:t>
      </w:r>
      <w:r>
        <w:rPr/>
        <w:t>.</w:t>
      </w:r>
    </w:p>
    <w:p>
      <w:pPr>
        <w:pStyle w:val="Header"/>
        <w:tabs>
          <w:tab w:val="clear" w:pos="4320"/>
          <w:tab w:val="clear" w:pos="8640"/>
        </w:tabs>
        <w:rPr/>
      </w:pPr>
      <w:r>
        <w:rPr/>
      </w:r>
    </w:p>
    <w:p>
      <w:pPr>
        <w:pStyle w:val="Normal"/>
        <w:rPr/>
      </w:pPr>
      <w:r>
        <w:rPr>
          <w:b/>
        </w:rPr>
        <w:t>Arlan Chenault</w:t>
      </w:r>
      <w:r>
        <w:rPr/>
        <w:t xml:space="preserve"> works in Industrial Marketing Strategy &amp; Program Development for </w:t>
      </w:r>
      <w:r>
        <w:rPr>
          <w:b/>
        </w:rPr>
        <w:t>Mississippi Power Company, a Southern Company</w:t>
      </w:r>
      <w:r>
        <w:rPr/>
        <w:t>, where he is responsible for assessing market potential and developing strategies and programs to maximize sales efforts. Mr. Chenault has over 15 years of experience in the electric utility business in the areas of power quality and reliability, distribution engineering and industrial marketing. Prior to joining Mississippi Power Company, he worked as a Civilian Electronics Engineer for the U.S. Department of Defense. Mr. Chenault received a BSEE from Louisiana State University and an MBA from the University of Southern Mississippi.  He is also a member of IEEE.</w:t>
      </w:r>
    </w:p>
    <w:p>
      <w:pPr>
        <w:pStyle w:val="Normal"/>
        <w:rPr/>
      </w:pPr>
      <w:r>
        <w:rPr/>
      </w:r>
    </w:p>
    <w:p>
      <w:pPr>
        <w:pStyle w:val="Normal"/>
        <w:rPr>
          <w:i/>
          <w:i/>
        </w:rPr>
      </w:pPr>
      <w:r>
        <w:rPr>
          <w:i/>
        </w:rPr>
      </w:r>
    </w:p>
    <w:p>
      <w:pPr>
        <w:pStyle w:val="Heading2"/>
        <w:ind w:hanging="0" w:start="0"/>
        <w:rPr>
          <w:i w:val="false"/>
          <w:i w:val="false"/>
        </w:rPr>
      </w:pPr>
      <w:r>
        <w:rPr>
          <w:i w:val="false"/>
        </w:rPr>
      </w:r>
    </w:p>
    <w:p>
      <w:pPr>
        <w:pStyle w:val="Heading2"/>
        <w:ind w:hanging="0" w:start="0"/>
        <w:rPr/>
      </w:pPr>
      <w:r>
        <w:rPr/>
      </w:r>
    </w:p>
    <w:p>
      <w:pPr>
        <w:pStyle w:val="Heading2"/>
        <w:ind w:hanging="0" w:start="0"/>
        <w:rPr/>
      </w:pPr>
      <w:r>
        <w:rPr/>
        <w:t>Pre-Conference Workshop B – Friday, September 21, 2001</w:t>
      </w:r>
    </w:p>
    <w:p>
      <w:pPr>
        <w:pStyle w:val="Heading6"/>
        <w:ind w:hanging="0" w:start="0"/>
        <w:rPr/>
      </w:pPr>
      <w:r>
        <w:rPr/>
        <w:t>Use Load Profiling Data to Identify and Understand Customer Usage Trends</w:t>
      </w:r>
    </w:p>
    <w:p>
      <w:pPr>
        <w:pStyle w:val="Normal"/>
        <w:rPr/>
      </w:pPr>
      <w:r>
        <w:rPr/>
        <w:t xml:space="preserve">As the industry begins to deregulate, utilities need to forecast total deliveries to customers in their service territory, as well as schedule loads for customers taking Standard Offer or Default/Provider-of-Last-Resort Service. Retailers need to schedule loads for customers in their portfolios and understand the loads being served by the utility to track future movement.  Using load profiling data can help you obtain a better understanding of when your customers use power and how you can develop pricing options that directly correlate to usage trends.  </w:t>
      </w:r>
    </w:p>
    <w:p>
      <w:pPr>
        <w:pStyle w:val="Normal"/>
        <w:rPr/>
      </w:pPr>
      <w:r>
        <w:rPr/>
      </w:r>
    </w:p>
    <w:p>
      <w:pPr>
        <w:pStyle w:val="Normal"/>
        <w:numPr>
          <w:ilvl w:val="0"/>
          <w:numId w:val="16"/>
        </w:numPr>
        <w:rPr>
          <w:b/>
        </w:rPr>
      </w:pPr>
      <w:r>
        <w:rPr>
          <w:b/>
        </w:rPr>
        <w:t>Understand the Basics of Load Profiling Practices and Principles</w:t>
      </w:r>
    </w:p>
    <w:p>
      <w:pPr>
        <w:pStyle w:val="Normal"/>
        <w:numPr>
          <w:ilvl w:val="0"/>
          <w:numId w:val="12"/>
        </w:numPr>
        <w:tabs>
          <w:tab w:val="clear" w:pos="720"/>
          <w:tab w:val="left" w:pos="1080" w:leader="none"/>
        </w:tabs>
        <w:ind w:hanging="360" w:start="1080" w:end="0"/>
        <w:rPr/>
      </w:pPr>
      <w:r>
        <w:rPr/>
        <w:t>What are the best profile forecasting methods?</w:t>
      </w:r>
    </w:p>
    <w:p>
      <w:pPr>
        <w:pStyle w:val="Normal"/>
        <w:numPr>
          <w:ilvl w:val="0"/>
          <w:numId w:val="12"/>
        </w:numPr>
        <w:tabs>
          <w:tab w:val="clear" w:pos="720"/>
          <w:tab w:val="left" w:pos="1080" w:leader="none"/>
        </w:tabs>
        <w:ind w:hanging="360" w:start="1080" w:end="0"/>
        <w:rPr/>
      </w:pPr>
      <w:r>
        <w:rPr/>
        <w:t>Pros and cons of providing utility forecasts to competitive suppliers</w:t>
      </w:r>
    </w:p>
    <w:p>
      <w:pPr>
        <w:pStyle w:val="Normal"/>
        <w:numPr>
          <w:ilvl w:val="0"/>
          <w:numId w:val="12"/>
        </w:numPr>
        <w:tabs>
          <w:tab w:val="clear" w:pos="720"/>
          <w:tab w:val="left" w:pos="1080" w:leader="none"/>
        </w:tabs>
        <w:ind w:hanging="360" w:start="1080" w:end="0"/>
        <w:rPr/>
      </w:pPr>
      <w:r>
        <w:rPr/>
        <w:t>How to build useful and accurate models without load research data</w:t>
      </w:r>
    </w:p>
    <w:p>
      <w:pPr>
        <w:pStyle w:val="Normal"/>
        <w:numPr>
          <w:ilvl w:val="0"/>
          <w:numId w:val="12"/>
        </w:numPr>
        <w:tabs>
          <w:tab w:val="clear" w:pos="720"/>
          <w:tab w:val="left" w:pos="1080" w:leader="none"/>
        </w:tabs>
        <w:ind w:hanging="360" w:start="1080" w:end="0"/>
        <w:rPr/>
      </w:pPr>
      <w:r>
        <w:rPr/>
        <w:t>How Load Profiling allows market participation by customers without interval meters</w:t>
      </w:r>
    </w:p>
    <w:p>
      <w:pPr>
        <w:pStyle w:val="Normal"/>
        <w:numPr>
          <w:ilvl w:val="0"/>
          <w:numId w:val="2"/>
        </w:numPr>
        <w:tabs>
          <w:tab w:val="clear" w:pos="720"/>
          <w:tab w:val="left" w:pos="1080" w:leader="none"/>
        </w:tabs>
        <w:ind w:hanging="360" w:start="1080" w:end="0"/>
        <w:rPr/>
      </w:pPr>
      <w:r>
        <w:rPr/>
        <w:t>Setting the size threshold for load profiling – When is interval metering required?</w:t>
      </w:r>
    </w:p>
    <w:p>
      <w:pPr>
        <w:pStyle w:val="Normal"/>
        <w:rPr/>
      </w:pPr>
      <w:r>
        <w:rPr/>
      </w:r>
    </w:p>
    <w:p>
      <w:pPr>
        <w:pStyle w:val="Normal"/>
        <w:numPr>
          <w:ilvl w:val="0"/>
          <w:numId w:val="16"/>
        </w:numPr>
        <w:rPr>
          <w:b/>
        </w:rPr>
      </w:pPr>
      <w:r>
        <w:rPr>
          <w:b/>
        </w:rPr>
        <w:t>Apply Load Profiling Data to Specific Customer Classes</w:t>
      </w:r>
    </w:p>
    <w:p>
      <w:pPr>
        <w:pStyle w:val="Normal"/>
        <w:numPr>
          <w:ilvl w:val="0"/>
          <w:numId w:val="12"/>
        </w:numPr>
        <w:tabs>
          <w:tab w:val="clear" w:pos="720"/>
          <w:tab w:val="left" w:pos="1080" w:leader="none"/>
        </w:tabs>
        <w:ind w:hanging="360" w:start="1080" w:end="0"/>
        <w:rPr>
          <w:b/>
        </w:rPr>
      </w:pPr>
      <w:r>
        <w:rPr/>
        <w:t>How load profiling options differ for residential, small commercial and large commercial/industrial customers</w:t>
      </w:r>
    </w:p>
    <w:p>
      <w:pPr>
        <w:pStyle w:val="Normal"/>
        <w:numPr>
          <w:ilvl w:val="0"/>
          <w:numId w:val="33"/>
        </w:numPr>
        <w:tabs>
          <w:tab w:val="clear" w:pos="720"/>
          <w:tab w:val="left" w:pos="1080" w:leader="none"/>
        </w:tabs>
        <w:ind w:hanging="360" w:start="1080" w:end="0"/>
        <w:rPr/>
      </w:pPr>
      <w:r>
        <w:rPr/>
        <w:t>Load profiling and market manipulation – How cherry picking will affect small customers</w:t>
      </w:r>
    </w:p>
    <w:p>
      <w:pPr>
        <w:pStyle w:val="Normal"/>
        <w:numPr>
          <w:ilvl w:val="0"/>
          <w:numId w:val="6"/>
        </w:numPr>
        <w:tabs>
          <w:tab w:val="clear" w:pos="720"/>
          <w:tab w:val="left" w:pos="1080" w:leader="none"/>
        </w:tabs>
        <w:ind w:hanging="360" w:start="1080" w:end="0"/>
        <w:rPr/>
      </w:pPr>
      <w:r>
        <w:rPr/>
        <w:t>How to define load profiling classes and choose the appropriate approach or system</w:t>
      </w:r>
    </w:p>
    <w:p>
      <w:pPr>
        <w:pStyle w:val="Normal"/>
        <w:numPr>
          <w:ilvl w:val="0"/>
          <w:numId w:val="12"/>
        </w:numPr>
        <w:tabs>
          <w:tab w:val="clear" w:pos="720"/>
          <w:tab w:val="left" w:pos="1080" w:leader="none"/>
        </w:tabs>
        <w:ind w:hanging="360" w:start="1080" w:end="0"/>
        <w:rPr>
          <w:b/>
        </w:rPr>
      </w:pPr>
      <w:r>
        <w:rPr/>
        <w:t>What methods work for provider-of-last-resort load?</w:t>
      </w:r>
    </w:p>
    <w:p>
      <w:pPr>
        <w:pStyle w:val="Normal"/>
        <w:numPr>
          <w:ilvl w:val="0"/>
          <w:numId w:val="33"/>
        </w:numPr>
        <w:tabs>
          <w:tab w:val="clear" w:pos="720"/>
          <w:tab w:val="left" w:pos="1080" w:leader="none"/>
        </w:tabs>
        <w:ind w:hanging="360" w:start="1080" w:end="0"/>
        <w:rPr/>
      </w:pPr>
      <w:r>
        <w:rPr/>
        <w:t>Forecasting for customers taking service from the Supplier of Last Resort</w:t>
      </w:r>
    </w:p>
    <w:p>
      <w:pPr>
        <w:pStyle w:val="Normal"/>
        <w:numPr>
          <w:ilvl w:val="0"/>
          <w:numId w:val="27"/>
        </w:numPr>
        <w:tabs>
          <w:tab w:val="clear" w:pos="720"/>
          <w:tab w:val="left" w:pos="1440" w:leader="none"/>
        </w:tabs>
        <w:ind w:hanging="360" w:start="1440" w:end="0"/>
        <w:rPr/>
      </w:pPr>
      <w:r>
        <w:rPr/>
        <w:t>what methods work</w:t>
      </w:r>
    </w:p>
    <w:p>
      <w:pPr>
        <w:pStyle w:val="Normal"/>
        <w:numPr>
          <w:ilvl w:val="0"/>
          <w:numId w:val="27"/>
        </w:numPr>
        <w:tabs>
          <w:tab w:val="clear" w:pos="720"/>
          <w:tab w:val="left" w:pos="1440" w:leader="none"/>
        </w:tabs>
        <w:ind w:hanging="360" w:start="1440" w:end="0"/>
        <w:rPr/>
      </w:pPr>
      <w:r>
        <w:rPr/>
        <w:t>how to account for shifting loads</w:t>
      </w:r>
    </w:p>
    <w:p>
      <w:pPr>
        <w:pStyle w:val="Normal"/>
        <w:numPr>
          <w:ilvl w:val="0"/>
          <w:numId w:val="27"/>
        </w:numPr>
        <w:tabs>
          <w:tab w:val="clear" w:pos="720"/>
          <w:tab w:val="left" w:pos="1440" w:leader="none"/>
        </w:tabs>
        <w:ind w:hanging="360" w:start="1440" w:end="0"/>
        <w:rPr/>
      </w:pPr>
      <w:r>
        <w:rPr/>
        <w:t>how to reflect uncertainty</w:t>
      </w:r>
    </w:p>
    <w:p>
      <w:pPr>
        <w:pStyle w:val="Normal"/>
        <w:rPr/>
      </w:pPr>
      <w:r>
        <w:rPr/>
      </w:r>
    </w:p>
    <w:p>
      <w:pPr>
        <w:pStyle w:val="Normal"/>
        <w:numPr>
          <w:ilvl w:val="0"/>
          <w:numId w:val="16"/>
        </w:numPr>
        <w:rPr>
          <w:b/>
        </w:rPr>
      </w:pPr>
      <w:r>
        <w:rPr>
          <w:b/>
        </w:rPr>
        <w:t>When You Need to Move Beyond Customer Class and Segment Profile Data for the Best Results</w:t>
      </w:r>
    </w:p>
    <w:p>
      <w:pPr>
        <w:pStyle w:val="Normal"/>
        <w:numPr>
          <w:ilvl w:val="0"/>
          <w:numId w:val="6"/>
        </w:numPr>
        <w:tabs>
          <w:tab w:val="clear" w:pos="720"/>
          <w:tab w:val="left" w:pos="1080" w:leader="none"/>
        </w:tabs>
        <w:ind w:hanging="360" w:start="1080" w:end="0"/>
        <w:rPr/>
      </w:pPr>
      <w:r>
        <w:rPr/>
        <w:t>Does segmentation really offer more accurate price signals?</w:t>
      </w:r>
    </w:p>
    <w:p>
      <w:pPr>
        <w:pStyle w:val="Normal"/>
        <w:numPr>
          <w:ilvl w:val="0"/>
          <w:numId w:val="2"/>
        </w:numPr>
        <w:tabs>
          <w:tab w:val="clear" w:pos="720"/>
          <w:tab w:val="left" w:pos="1080" w:leader="none"/>
        </w:tabs>
        <w:ind w:hanging="360" w:start="1080" w:end="0"/>
        <w:rPr/>
      </w:pPr>
      <w:r>
        <w:rPr/>
        <w:t>Equity, efficiency and economics of load profile segmentation and thresholds</w:t>
      </w:r>
    </w:p>
    <w:p>
      <w:pPr>
        <w:pStyle w:val="Normal"/>
        <w:numPr>
          <w:ilvl w:val="0"/>
          <w:numId w:val="2"/>
        </w:numPr>
        <w:tabs>
          <w:tab w:val="clear" w:pos="720"/>
          <w:tab w:val="left" w:pos="1080" w:leader="none"/>
        </w:tabs>
        <w:ind w:hanging="360" w:start="1080" w:end="0"/>
        <w:rPr/>
      </w:pPr>
      <w:r>
        <w:rPr/>
        <w:t>How to decide what customer segments will get their own profiles</w:t>
      </w:r>
    </w:p>
    <w:p>
      <w:pPr>
        <w:pStyle w:val="Normal"/>
        <w:numPr>
          <w:ilvl w:val="0"/>
          <w:numId w:val="2"/>
        </w:numPr>
        <w:tabs>
          <w:tab w:val="clear" w:pos="720"/>
          <w:tab w:val="left" w:pos="1080" w:leader="none"/>
        </w:tabs>
        <w:ind w:hanging="360" w:start="1080" w:end="0"/>
        <w:rPr/>
      </w:pPr>
      <w:r>
        <w:rPr/>
        <w:t>When to allow retailer-specific load profiles or profiles for other special groups</w:t>
      </w:r>
    </w:p>
    <w:p>
      <w:pPr>
        <w:pStyle w:val="Normal"/>
        <w:ind w:start="720" w:end="0"/>
        <w:rPr/>
      </w:pPr>
      <w:r>
        <w:rPr/>
      </w:r>
    </w:p>
    <w:p>
      <w:pPr>
        <w:pStyle w:val="Normal"/>
        <w:rPr/>
      </w:pPr>
      <w:r>
        <w:rPr/>
      </w:r>
    </w:p>
    <w:p>
      <w:pPr>
        <w:pStyle w:val="Normal"/>
        <w:rPr/>
      </w:pPr>
      <w:r>
        <w:rPr/>
        <w:t xml:space="preserve">12:00 </w:t>
      </w:r>
      <w:r>
        <w:rPr>
          <w:i/>
        </w:rPr>
        <w:t>Close of Workshop</w:t>
      </w:r>
    </w:p>
    <w:p>
      <w:pPr>
        <w:pStyle w:val="Normal"/>
        <w:rPr/>
      </w:pPr>
      <w:r>
        <w:rPr/>
      </w:r>
    </w:p>
    <w:p>
      <w:pPr>
        <w:pStyle w:val="Normal"/>
        <w:rPr>
          <w:i/>
          <w:i/>
        </w:rPr>
      </w:pPr>
      <w:r>
        <w:rPr>
          <w:i/>
        </w:rPr>
        <w:t>There will be a 30-minute networking and refreshment break at 10:00 a.m. – Sponsorship Opportunity</w:t>
      </w:r>
    </w:p>
    <w:p>
      <w:pPr>
        <w:pStyle w:val="Normal"/>
        <w:rPr>
          <w:i/>
          <w:i/>
        </w:rPr>
      </w:pPr>
      <w:r>
        <w:rPr>
          <w:i/>
        </w:rPr>
      </w:r>
    </w:p>
    <w:p>
      <w:pPr>
        <w:pStyle w:val="Normal"/>
        <w:rPr/>
      </w:pPr>
      <w:r>
        <w:rPr>
          <w:rFonts w:eastAsia="Symbol" w:cs="Symbol" w:ascii="Symbol" w:hAnsi="Symbol"/>
          <w:b/>
        </w:rPr>
        <w:sym w:font="Symbol" w:char="f02d"/>
      </w:r>
      <w:r>
        <w:rPr>
          <w:b/>
        </w:rPr>
        <w:t xml:space="preserve"> </w:t>
      </w:r>
      <w:r>
        <w:rPr>
          <w:b/>
        </w:rPr>
        <w:t>About Your Workshop Leaders –</w:t>
      </w:r>
    </w:p>
    <w:p>
      <w:pPr>
        <w:pStyle w:val="Normal"/>
        <w:rPr>
          <w:b/>
          <w:i/>
          <w:i/>
        </w:rPr>
      </w:pPr>
      <w:r>
        <w:rPr>
          <w:b/>
          <w:i/>
        </w:rPr>
      </w:r>
    </w:p>
    <w:p>
      <w:pPr>
        <w:pStyle w:val="Normal"/>
        <w:rPr/>
      </w:pPr>
      <w:r>
        <w:rPr>
          <w:i/>
        </w:rPr>
        <w:t xml:space="preserve">John Slivka, Manager, Load Analysis, </w:t>
      </w:r>
      <w:r>
        <w:rPr>
          <w:b/>
        </w:rPr>
        <w:t xml:space="preserve">PPL Utilities </w:t>
      </w:r>
      <w:r>
        <w:rPr/>
        <w:t>(confirmed, bullets due 4/25)</w:t>
      </w:r>
    </w:p>
    <w:p>
      <w:pPr>
        <w:pStyle w:val="Normal"/>
        <w:rPr/>
      </w:pPr>
      <w:r>
        <w:rPr>
          <w:i/>
        </w:rPr>
        <w:t>Raymond Saunders, Senior Specialist, Business Planning,</w:t>
      </w:r>
      <w:r>
        <w:rPr/>
        <w:t xml:space="preserve"> </w:t>
      </w:r>
      <w:r>
        <w:rPr>
          <w:b/>
        </w:rPr>
        <w:t>Illinois Power Co.</w:t>
      </w:r>
      <w:r>
        <w:rPr/>
        <w:t xml:space="preserve"> (confirmed, bullets due 4/25)</w:t>
      </w:r>
    </w:p>
    <w:p>
      <w:pPr>
        <w:pStyle w:val="Normal"/>
        <w:rPr/>
      </w:pPr>
      <w:r>
        <w:rPr>
          <w:i/>
        </w:rPr>
        <w:t>Mimi Goldberg, Vice President for Analytic Services,</w:t>
      </w:r>
      <w:r>
        <w:rPr>
          <w:b/>
        </w:rPr>
        <w:t xml:space="preserve"> XENERGY Consulting Inc.</w:t>
      </w:r>
      <w:r>
        <w:rPr/>
        <w:t xml:space="preserve"> (invited)</w:t>
      </w:r>
      <w:r>
        <w:rPr>
          <w:i/>
        </w:rPr>
        <w:t xml:space="preserve"> </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pPr>
      <w:r>
        <w:rPr/>
      </w:r>
    </w:p>
    <w:p>
      <w:pPr>
        <w:pStyle w:val="Heading8"/>
        <w:ind w:hanging="0" w:start="0"/>
        <w:jc w:val="start"/>
        <w:rPr>
          <w:sz w:val="28"/>
        </w:rPr>
      </w:pPr>
      <w:r>
        <w:rPr>
          <w:sz w:val="28"/>
        </w:rPr>
      </w:r>
    </w:p>
    <w:p>
      <w:pPr>
        <w:pStyle w:val="Normal"/>
        <w:rPr>
          <w:sz w:val="28"/>
        </w:rPr>
      </w:pPr>
      <w:r>
        <w:rPr>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-50165</wp:posOffset>
                </wp:positionH>
                <wp:positionV relativeFrom="paragraph">
                  <wp:posOffset>33655</wp:posOffset>
                </wp:positionV>
                <wp:extent cx="6501130" cy="283210"/>
                <wp:effectExtent l="0" t="0" r="0" b="0"/>
                <wp:wrapNone/>
                <wp:docPr id="2" name="Frame2"/>
                <a:graphic xmlns:a="http://schemas.openxmlformats.org/drawingml/2006/main">
                  <a:graphicData uri="http://schemas.microsoft.com/office/word/2010/wordprocessingShape">
                    <wps:wsp>
                      <wps:cNvSpPr txBox="1"/>
                      <wps:spPr>
                        <a:xfrm>
                          <a:off x="0" y="0"/>
                          <a:ext cx="6501130" cy="283210"/>
                        </a:xfrm>
                        <a:prstGeom prst="rect"/>
                        <a:solidFill>
                          <a:srgbClr val="FFFFFF"/>
                        </a:solidFill>
                        <a:ln w="9525">
                          <a:solidFill>
                            <a:srgbClr val="000000"/>
                          </a:solidFill>
                        </a:ln>
                      </wps:spPr>
                      <wps:txbx>
                        <w:txbxContent>
                          <w:p>
                            <w:pPr>
                              <w:pStyle w:val="Normal"/>
                              <w:jc w:val="center"/>
                              <w:rPr>
                                <w:b/>
                              </w:rPr>
                            </w:pPr>
                            <w:r>
                              <w:rPr>
                                <w:b/>
                              </w:rPr>
                              <w:t>MAIN CONFERENCE</w:t>
                            </w:r>
                          </w:p>
                          <w:p>
                            <w:pPr>
                              <w:pStyle w:val="Normal"/>
                              <w:jc w:val="center"/>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511.9pt;height:22.3pt;mso-wrap-distance-left:9.05pt;mso-wrap-distance-right:9.05pt;mso-wrap-distance-top:0pt;mso-wrap-distance-bottom:0pt;margin-top:2.65pt;mso-position-vertical-relative:text;margin-left:-3.95pt;mso-position-horizontal-relative:text">
                <v:textbox>
                  <w:txbxContent>
                    <w:p>
                      <w:pPr>
                        <w:pStyle w:val="Normal"/>
                        <w:jc w:val="center"/>
                        <w:rPr>
                          <w:b/>
                        </w:rPr>
                      </w:pPr>
                      <w:r>
                        <w:rPr>
                          <w:b/>
                        </w:rPr>
                        <w:t>MAIN CONFERENCE</w:t>
                      </w:r>
                    </w:p>
                    <w:p>
                      <w:pPr>
                        <w:pStyle w:val="Normal"/>
                        <w:jc w:val="center"/>
                        <w:rPr>
                          <w:b/>
                        </w:rPr>
                      </w:pPr>
                      <w:r>
                        <w:rPr>
                          <w:b/>
                        </w:rPr>
                      </w:r>
                    </w:p>
                  </w:txbxContent>
                </v:textbox>
                <w10:wrap type="none"/>
              </v:rect>
            </w:pict>
          </mc:Fallback>
        </mc:AlternateContent>
      </w:r>
    </w:p>
    <w:p>
      <w:pPr>
        <w:pStyle w:val="Normal"/>
        <w:rPr/>
      </w:pPr>
      <w:r>
        <w:rPr/>
      </w:r>
    </w:p>
    <w:p>
      <w:pPr>
        <w:pStyle w:val="Normal"/>
        <w:rPr/>
      </w:pPr>
      <w:r>
        <w:rPr/>
      </w:r>
    </w:p>
    <w:p>
      <w:pPr>
        <w:pStyle w:val="Heading4"/>
        <w:ind w:hanging="0" w:start="0"/>
        <w:rPr>
          <w:i/>
          <w:i/>
        </w:rPr>
      </w:pPr>
      <w:r>
        <w:rPr>
          <w:i/>
        </w:rPr>
        <w:t>Day One – Monday, September 24, 2001</w:t>
      </w:r>
    </w:p>
    <w:p>
      <w:pPr>
        <w:pStyle w:val="Normal"/>
        <w:rPr>
          <w:i/>
          <w:i/>
        </w:rPr>
      </w:pPr>
      <w:r>
        <w:rPr>
          <w:i/>
        </w:rPr>
      </w:r>
    </w:p>
    <w:p>
      <w:pPr>
        <w:pStyle w:val="Normal"/>
        <w:rPr/>
      </w:pPr>
      <w:r>
        <w:rPr/>
        <w:t xml:space="preserve">12:30 </w:t>
      </w:r>
      <w:r>
        <w:rPr>
          <w:i/>
        </w:rPr>
        <w:t>Registration for Main Conference and Refreshments</w:t>
      </w:r>
    </w:p>
    <w:p>
      <w:pPr>
        <w:pStyle w:val="Normal"/>
        <w:rPr/>
      </w:pPr>
      <w:r>
        <w:rPr/>
      </w:r>
    </w:p>
    <w:p>
      <w:pPr>
        <w:pStyle w:val="Normal"/>
        <w:rPr/>
      </w:pPr>
      <w:r>
        <w:rPr/>
        <w:t xml:space="preserve">1:15 </w:t>
      </w:r>
      <w:r>
        <w:rPr>
          <w:i/>
        </w:rPr>
        <w:t>Chairman’s Welcome and Opening Remarks</w: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-50165</wp:posOffset>
                </wp:positionH>
                <wp:positionV relativeFrom="paragraph">
                  <wp:posOffset>41275</wp:posOffset>
                </wp:positionV>
                <wp:extent cx="6501130" cy="496570"/>
                <wp:effectExtent l="0" t="0" r="0" b="0"/>
                <wp:wrapNone/>
                <wp:docPr id="3" name="Frame3"/>
                <a:graphic xmlns:a="http://schemas.openxmlformats.org/drawingml/2006/main">
                  <a:graphicData uri="http://schemas.microsoft.com/office/word/2010/wordprocessingShape">
                    <wps:wsp>
                      <wps:cNvSpPr txBox="1"/>
                      <wps:spPr>
                        <a:xfrm>
                          <a:off x="0" y="0"/>
                          <a:ext cx="6501130" cy="496570"/>
                        </a:xfrm>
                        <a:prstGeom prst="rect"/>
                        <a:solidFill>
                          <a:srgbClr val="FFFFFF"/>
                        </a:solidFill>
                        <a:ln w="9525">
                          <a:solidFill>
                            <a:srgbClr val="000000"/>
                          </a:solidFill>
                        </a:ln>
                      </wps:spPr>
                      <wps:txbx>
                        <w:txbxContent>
                          <w:p>
                            <w:pPr>
                              <w:pStyle w:val="Heading3"/>
                              <w:ind w:hanging="0" w:start="0"/>
                              <w:rPr/>
                            </w:pPr>
                            <w:r>
                              <w:rPr/>
                              <w:t xml:space="preserve">The Link Between Wholesale and Retail Markets – </w:t>
                            </w:r>
                          </w:p>
                          <w:p>
                            <w:pPr>
                              <w:pStyle w:val="Heading3"/>
                              <w:ind w:hanging="0" w:start="0"/>
                              <w:rPr/>
                            </w:pPr>
                            <w:r>
                              <w:rPr/>
                              <w:t>Price Caps, Market Risk and Lessons Learned</w:t>
                            </w:r>
                          </w:p>
                        </w:txbxContent>
                      </wps:txbx>
                      <wps:bodyPr anchor="t" lIns="91440" tIns="45720" rIns="91440" bIns="45720">
                        <a:noAutofit/>
                      </wps:bodyPr>
                    </wps:wsp>
                  </a:graphicData>
                </a:graphic>
              </wp:anchor>
            </w:drawing>
          </mc:Choice>
          <mc:Fallback>
            <w:pict>
              <v:rect fillcolor="#FFFFFF" strokecolor="#000000" strokeweight="0pt" style="position:absolute;rotation:-0;width:511.9pt;height:39.1pt;mso-wrap-distance-left:9.05pt;mso-wrap-distance-right:9.05pt;mso-wrap-distance-top:0pt;mso-wrap-distance-bottom:0pt;margin-top:3.25pt;mso-position-vertical-relative:text;margin-left:-3.95pt;mso-position-horizontal-relative:text">
                <v:textbox>
                  <w:txbxContent>
                    <w:p>
                      <w:pPr>
                        <w:pStyle w:val="Heading3"/>
                        <w:ind w:hanging="0" w:start="0"/>
                        <w:rPr/>
                      </w:pPr>
                      <w:r>
                        <w:rPr/>
                        <w:t xml:space="preserve">The Link Between Wholesale and Retail Markets – </w:t>
                      </w:r>
                    </w:p>
                    <w:p>
                      <w:pPr>
                        <w:pStyle w:val="Heading3"/>
                        <w:ind w:hanging="0" w:start="0"/>
                        <w:rPr/>
                      </w:pPr>
                      <w:r>
                        <w:rPr/>
                        <w:t>Price Caps, Market Risk and Lessons Learned</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t xml:space="preserve">1:30 </w:t>
      </w:r>
      <w:r>
        <w:rPr>
          <w:b/>
        </w:rPr>
        <w:t>Avoid the Pitfalls and Risks that Wholesale Market Price Caps Can Create</w:t>
      </w:r>
    </w:p>
    <w:p>
      <w:pPr>
        <w:pStyle w:val="Normal"/>
        <w:numPr>
          <w:ilvl w:val="0"/>
          <w:numId w:val="13"/>
        </w:numPr>
        <w:tabs>
          <w:tab w:val="left" w:pos="720" w:leader="none"/>
        </w:tabs>
        <w:ind w:hanging="360" w:start="1080" w:end="0"/>
        <w:rPr/>
      </w:pPr>
      <w:r>
        <w:rPr/>
        <w:t>Are price caps an effective means of preventing market power?</w:t>
      </w:r>
    </w:p>
    <w:p>
      <w:pPr>
        <w:pStyle w:val="Normal"/>
        <w:numPr>
          <w:ilvl w:val="0"/>
          <w:numId w:val="13"/>
        </w:numPr>
        <w:tabs>
          <w:tab w:val="left" w:pos="720" w:leader="none"/>
        </w:tabs>
        <w:ind w:hanging="360" w:start="1080" w:end="0"/>
        <w:rPr/>
      </w:pPr>
      <w:r>
        <w:rPr/>
        <w:t>Learn other effective alternative means of preventing market power</w:t>
      </w:r>
    </w:p>
    <w:p>
      <w:pPr>
        <w:pStyle w:val="Normal"/>
        <w:numPr>
          <w:ilvl w:val="0"/>
          <w:numId w:val="13"/>
        </w:numPr>
        <w:tabs>
          <w:tab w:val="left" w:pos="720" w:leader="none"/>
        </w:tabs>
        <w:ind w:hanging="360" w:start="1080" w:end="0"/>
        <w:rPr/>
      </w:pPr>
      <w:r>
        <w:rPr/>
        <w:t>Understand the relationship between wholesale price caps and wholesale supply</w:t>
      </w:r>
    </w:p>
    <w:p>
      <w:pPr>
        <w:pStyle w:val="Normal"/>
        <w:numPr>
          <w:ilvl w:val="0"/>
          <w:numId w:val="13"/>
        </w:numPr>
        <w:tabs>
          <w:tab w:val="left" w:pos="720" w:leader="none"/>
        </w:tabs>
        <w:ind w:hanging="360" w:start="1080" w:end="0"/>
        <w:rPr/>
      </w:pPr>
      <w:r>
        <w:rPr/>
        <w:t>The extent to which wholesale price caps lead to supply shortages</w:t>
      </w:r>
    </w:p>
    <w:p>
      <w:pPr>
        <w:pStyle w:val="Normal"/>
        <w:numPr>
          <w:ilvl w:val="0"/>
          <w:numId w:val="13"/>
        </w:numPr>
        <w:tabs>
          <w:tab w:val="left" w:pos="720" w:leader="none"/>
        </w:tabs>
        <w:ind w:hanging="360" w:start="1080" w:end="0"/>
        <w:rPr/>
      </w:pPr>
      <w:r>
        <w:rPr/>
        <w:t>Pricing retail electricity in a constrained wholesale market</w:t>
      </w:r>
    </w:p>
    <w:p>
      <w:pPr>
        <w:pStyle w:val="Normal"/>
        <w:numPr>
          <w:ilvl w:val="0"/>
          <w:numId w:val="13"/>
        </w:numPr>
        <w:tabs>
          <w:tab w:val="left" w:pos="720" w:leader="none"/>
        </w:tabs>
        <w:ind w:hanging="360" w:start="1080" w:end="0"/>
        <w:rPr/>
      </w:pPr>
      <w:r>
        <w:rPr/>
        <w:t>Know what risks you will face when price caps are lifted</w:t>
      </w:r>
    </w:p>
    <w:p>
      <w:pPr>
        <w:pStyle w:val="Normal"/>
        <w:rPr/>
      </w:pPr>
      <w:r>
        <w:rPr>
          <w:i/>
        </w:rPr>
        <w:t>Martin Buckley, Senior Vice President, National Accounts</w:t>
      </w:r>
      <w:r>
        <w:rPr/>
        <w:t xml:space="preserve">, </w:t>
      </w:r>
      <w:r>
        <w:rPr>
          <w:b/>
        </w:rPr>
        <w:t>El Paso Merchant Energy</w:t>
      </w:r>
      <w:r>
        <w:rPr/>
        <w:t xml:space="preserve"> (confirmed, bullets due 5/10)</w:t>
      </w:r>
    </w:p>
    <w:p>
      <w:pPr>
        <w:pStyle w:val="Header"/>
        <w:tabs>
          <w:tab w:val="clear" w:pos="4320"/>
          <w:tab w:val="clear" w:pos="8640"/>
        </w:tabs>
        <w:rPr/>
      </w:pPr>
      <w:r>
        <w:rPr/>
      </w:r>
    </w:p>
    <w:p>
      <w:pPr>
        <w:pStyle w:val="Normal"/>
        <w:rPr/>
      </w:pPr>
      <w:r>
        <w:rPr/>
        <w:t xml:space="preserve">2:15 </w:t>
      </w:r>
      <w:r>
        <w:rPr>
          <w:b/>
        </w:rPr>
        <w:t>How to Keep Wholesale Market Price Volatility from Undermining Your Retail Pricing Initiatives</w:t>
      </w:r>
    </w:p>
    <w:p>
      <w:pPr>
        <w:pStyle w:val="Normal"/>
        <w:numPr>
          <w:ilvl w:val="0"/>
          <w:numId w:val="21"/>
        </w:numPr>
        <w:tabs>
          <w:tab w:val="left" w:pos="720" w:leader="none"/>
        </w:tabs>
        <w:ind w:hanging="360" w:start="1080" w:end="0"/>
        <w:rPr/>
      </w:pPr>
      <w:r>
        <w:rPr/>
        <w:t>Understand the potential effects of volatility on</w:t>
      </w:r>
    </w:p>
    <w:p>
      <w:pPr>
        <w:pStyle w:val="Normal"/>
        <w:numPr>
          <w:ilvl w:val="0"/>
          <w:numId w:val="20"/>
        </w:numPr>
        <w:tabs>
          <w:tab w:val="left" w:pos="720" w:leader="none"/>
        </w:tabs>
        <w:ind w:hanging="360" w:start="1440" w:end="0"/>
        <w:rPr/>
      </w:pPr>
      <w:r>
        <w:rPr/>
        <w:t>retail supply portfolios</w:t>
      </w:r>
    </w:p>
    <w:p>
      <w:pPr>
        <w:pStyle w:val="Normal"/>
        <w:numPr>
          <w:ilvl w:val="0"/>
          <w:numId w:val="20"/>
        </w:numPr>
        <w:tabs>
          <w:tab w:val="left" w:pos="720" w:leader="none"/>
        </w:tabs>
        <w:ind w:hanging="360" w:start="1440" w:end="0"/>
        <w:rPr/>
      </w:pPr>
      <w:r>
        <w:rPr/>
        <w:t>bidding, scheduling and trading</w:t>
      </w:r>
    </w:p>
    <w:p>
      <w:pPr>
        <w:pStyle w:val="Normal"/>
        <w:numPr>
          <w:ilvl w:val="0"/>
          <w:numId w:val="20"/>
        </w:numPr>
        <w:tabs>
          <w:tab w:val="left" w:pos="720" w:leader="none"/>
        </w:tabs>
        <w:ind w:hanging="360" w:start="1440" w:end="0"/>
        <w:rPr/>
      </w:pPr>
      <w:r>
        <w:rPr/>
        <w:t>price hedging in the wholesale market</w:t>
      </w:r>
    </w:p>
    <w:p>
      <w:pPr>
        <w:pStyle w:val="Normal"/>
        <w:numPr>
          <w:ilvl w:val="0"/>
          <w:numId w:val="21"/>
        </w:numPr>
        <w:tabs>
          <w:tab w:val="left" w:pos="720" w:leader="none"/>
        </w:tabs>
        <w:ind w:hanging="360" w:start="1080" w:end="0"/>
        <w:rPr/>
      </w:pPr>
      <w:r>
        <w:rPr/>
        <w:t>Evaluate the use of production cost modeling in analyzing price volatility</w:t>
      </w:r>
    </w:p>
    <w:p>
      <w:pPr>
        <w:pStyle w:val="Normal"/>
        <w:numPr>
          <w:ilvl w:val="0"/>
          <w:numId w:val="21"/>
        </w:numPr>
        <w:tabs>
          <w:tab w:val="left" w:pos="720" w:leader="none"/>
        </w:tabs>
        <w:ind w:hanging="360" w:start="1080" w:end="0"/>
        <w:rPr/>
      </w:pPr>
      <w:r>
        <w:rPr/>
        <w:t>Compare cost modeling to discounted cash flow analysis</w:t>
      </w:r>
    </w:p>
    <w:p>
      <w:pPr>
        <w:pStyle w:val="Normal"/>
        <w:numPr>
          <w:ilvl w:val="0"/>
          <w:numId w:val="21"/>
        </w:numPr>
        <w:tabs>
          <w:tab w:val="left" w:pos="720" w:leader="none"/>
        </w:tabs>
        <w:ind w:hanging="360" w:start="1080" w:end="0"/>
        <w:rPr/>
      </w:pPr>
      <w:r>
        <w:rPr/>
        <w:t>Understand why volatility is not constant across different markets</w:t>
      </w:r>
    </w:p>
    <w:p>
      <w:pPr>
        <w:pStyle w:val="Normal"/>
        <w:rPr/>
      </w:pPr>
      <w:r>
        <w:rPr>
          <w:i/>
        </w:rPr>
        <w:t>Steve Rothstein, need title</w:t>
      </w:r>
      <w:r>
        <w:rPr/>
        <w:t xml:space="preserve">, </w:t>
      </w:r>
      <w:r>
        <w:rPr>
          <w:b/>
        </w:rPr>
        <w:t>AES NewEnergy</w:t>
      </w:r>
      <w:r>
        <w:rPr/>
        <w:t xml:space="preserve"> (invited)</w:t>
      </w:r>
    </w:p>
    <w:p>
      <w:pPr>
        <w:pStyle w:val="Header"/>
        <w:tabs>
          <w:tab w:val="clear" w:pos="4320"/>
          <w:tab w:val="clear" w:pos="8640"/>
        </w:tabs>
        <w:rPr/>
      </w:pPr>
      <w:r>
        <w:rPr>
          <w:i/>
        </w:rPr>
        <w:t xml:space="preserve">Carey Jordan, Vice President, Central Region, </w:t>
      </w:r>
      <w:r>
        <w:rPr>
          <w:b/>
        </w:rPr>
        <w:t>Calpine Corp.</w:t>
      </w:r>
      <w:r>
        <w:rPr/>
        <w:t xml:space="preserve"> (invited)</w:t>
      </w:r>
    </w:p>
    <w:p>
      <w:pPr>
        <w:pStyle w:val="Header"/>
        <w:tabs>
          <w:tab w:val="clear" w:pos="4320"/>
          <w:tab w:val="clear" w:pos="8640"/>
        </w:tabs>
        <w:rPr/>
      </w:pPr>
      <w:r>
        <w:rPr>
          <w:i/>
        </w:rPr>
        <w:t>Tom Paterno, National Sales Manager,</w:t>
      </w:r>
      <w:r>
        <w:rPr>
          <w:b/>
          <w:i/>
        </w:rPr>
        <w:t xml:space="preserve"> </w:t>
      </w:r>
      <w:r>
        <w:rPr>
          <w:b/>
        </w:rPr>
        <w:t>Reliant Energy Solutions</w:t>
      </w:r>
      <w:r>
        <w:rPr/>
        <w:t xml:space="preserve"> (invited)</w:t>
      </w:r>
    </w:p>
    <w:p>
      <w:pPr>
        <w:pStyle w:val="Header"/>
        <w:tabs>
          <w:tab w:val="clear" w:pos="4320"/>
          <w:tab w:val="clear" w:pos="8640"/>
        </w:tabs>
        <w:rPr/>
      </w:pPr>
      <w:r>
        <w:rPr/>
      </w:r>
    </w:p>
    <w:p>
      <w:pPr>
        <w:pStyle w:val="Normal"/>
        <w:rPr/>
      </w:pPr>
      <w:r>
        <w:rPr/>
        <w:t xml:space="preserve">3:00 </w:t>
      </w:r>
      <w:r>
        <w:rPr>
          <w:i/>
        </w:rPr>
        <w:t>Networking &amp; Refreshment Break – Sponsorship Opportunity</w:t>
      </w:r>
    </w:p>
    <w:p>
      <w:pPr>
        <w:pStyle w:val="Heading1"/>
        <w:ind w:hanging="0" w:start="0"/>
        <w:jc w:val="both"/>
        <w:rPr>
          <w:b w:val="false"/>
          <w:i/>
          <w:i/>
          <w:sz w:val="24"/>
        </w:rPr>
      </w:pPr>
      <w:r>
        <w:rPr>
          <w:b w:val="false"/>
          <w:i/>
          <w:sz w:val="24"/>
        </w:rPr>
      </w:r>
    </w:p>
    <w:p>
      <w:pPr>
        <w:pStyle w:val="Heading1"/>
        <w:ind w:hanging="0" w:start="0"/>
        <w:jc w:val="both"/>
        <w:rPr/>
      </w:pPr>
      <w:r>
        <w:rPr>
          <w:b w:val="false"/>
          <w:sz w:val="24"/>
        </w:rPr>
        <w:t xml:space="preserve">3:30 </w:t>
      </w:r>
      <w:r>
        <w:rPr>
          <w:sz w:val="24"/>
        </w:rPr>
        <w:t>Identify the Risks Associated with Retail Price Caps</w:t>
      </w:r>
    </w:p>
    <w:p>
      <w:pPr>
        <w:pStyle w:val="Normal"/>
        <w:numPr>
          <w:ilvl w:val="0"/>
          <w:numId w:val="34"/>
        </w:numPr>
        <w:tabs>
          <w:tab w:val="clear" w:pos="720"/>
          <w:tab w:val="left" w:pos="1080" w:leader="none"/>
        </w:tabs>
        <w:ind w:hanging="360" w:start="1080" w:end="0"/>
        <w:jc w:val="both"/>
        <w:rPr/>
      </w:pPr>
      <w:r>
        <w:rPr/>
        <w:t>Slows down wholesale market activity – Affects wholesale prices</w:t>
      </w:r>
    </w:p>
    <w:p>
      <w:pPr>
        <w:pStyle w:val="Normal"/>
        <w:numPr>
          <w:ilvl w:val="0"/>
          <w:numId w:val="34"/>
        </w:numPr>
        <w:tabs>
          <w:tab w:val="clear" w:pos="720"/>
          <w:tab w:val="left" w:pos="1080" w:leader="none"/>
        </w:tabs>
        <w:ind w:hanging="360" w:start="1080" w:end="0"/>
        <w:jc w:val="both"/>
        <w:rPr/>
      </w:pPr>
      <w:r>
        <w:rPr/>
        <w:t>Risks faced when retail caps are lifted</w:t>
      </w:r>
    </w:p>
    <w:p>
      <w:pPr>
        <w:pStyle w:val="Normal"/>
        <w:numPr>
          <w:ilvl w:val="0"/>
          <w:numId w:val="34"/>
        </w:numPr>
        <w:tabs>
          <w:tab w:val="clear" w:pos="720"/>
          <w:tab w:val="left" w:pos="1080" w:leader="none"/>
        </w:tabs>
        <w:ind w:hanging="360" w:start="1080" w:end="0"/>
        <w:jc w:val="both"/>
        <w:rPr/>
      </w:pPr>
      <w:r>
        <w:rPr/>
        <w:t>Prevents price-based competition – Retailers cannot compete with capped prices, no incentive for customers to shop</w:t>
      </w:r>
    </w:p>
    <w:p>
      <w:pPr>
        <w:pStyle w:val="Normal"/>
        <w:numPr>
          <w:ilvl w:val="0"/>
          <w:numId w:val="34"/>
        </w:numPr>
        <w:tabs>
          <w:tab w:val="clear" w:pos="720"/>
          <w:tab w:val="left" w:pos="1080" w:leader="none"/>
        </w:tabs>
        <w:ind w:hanging="360" w:start="1080" w:end="0"/>
        <w:jc w:val="both"/>
        <w:rPr/>
      </w:pPr>
      <w:r>
        <w:rPr/>
        <w:t>What happens when the allowable period for guaranteed stranded cost recovery ends?</w:t>
      </w:r>
    </w:p>
    <w:p>
      <w:pPr>
        <w:pStyle w:val="Normal"/>
        <w:rPr>
          <w:i/>
          <w:i/>
        </w:rPr>
      </w:pPr>
      <w:r>
        <w:rPr>
          <w:i/>
        </w:rPr>
        <w:t>Steven J. Kean, Executive Vice President</w:t>
      </w:r>
      <w:r>
        <w:rPr/>
        <w:t xml:space="preserve">, </w:t>
      </w:r>
      <w:r>
        <w:rPr>
          <w:b/>
        </w:rPr>
        <w:t>Enron Corp.</w:t>
      </w:r>
      <w:r>
        <w:rPr/>
        <w:t xml:space="preserve"> (invited)</w:t>
      </w:r>
    </w:p>
    <w:p>
      <w:pPr>
        <w:pStyle w:val="Normal"/>
        <w:rPr/>
      </w:pPr>
      <w:r>
        <w:rPr>
          <w:i/>
        </w:rPr>
        <w:t>Patrick Simpkins, Vice President,</w:t>
      </w:r>
      <w:r>
        <w:rPr>
          <w:b/>
        </w:rPr>
        <w:t xml:space="preserve"> Duke Solutions </w:t>
      </w:r>
      <w:r>
        <w:rPr/>
        <w:t>(invited)</w:t>
      </w:r>
    </w:p>
    <w:p>
      <w:pPr>
        <w:pStyle w:val="Normal"/>
        <w:rPr/>
      </w:pPr>
      <w:r>
        <w:rPr>
          <w:i/>
        </w:rPr>
        <w:t>Robert Tormey, Managing Director,</w:t>
      </w:r>
      <w:r>
        <w:rPr/>
        <w:t xml:space="preserve"> </w:t>
      </w:r>
      <w:r>
        <w:rPr>
          <w:b/>
        </w:rPr>
        <w:t>Duke Solutions</w:t>
      </w:r>
      <w:r>
        <w:rPr/>
        <w:t xml:space="preserve"> (invited)</w:t>
      </w:r>
    </w:p>
    <w:p>
      <w:pPr>
        <w:pStyle w:val="Normal"/>
        <w:rPr/>
      </w:pPr>
      <w:r>
        <w:rPr/>
      </w:r>
    </w:p>
    <w:p>
      <w:pPr>
        <w:pStyle w:val="Normal"/>
        <w:rPr/>
      </w:pPr>
      <w:r>
        <w:rPr/>
        <w:t>[Panel Discussion]</w:t>
      </w:r>
    </w:p>
    <w:p>
      <w:pPr>
        <w:pStyle w:val="Normal"/>
        <w:rPr/>
      </w:pPr>
      <w:r>
        <w:rPr/>
        <w:t xml:space="preserve">4:15 </w:t>
      </w:r>
      <w:r>
        <w:rPr>
          <w:b/>
        </w:rPr>
        <w:t>Lessons Learned from Pricing Successes and Failures in Developing Retail Markets – Pennsylvania, California and Texas</w:t>
      </w:r>
    </w:p>
    <w:p>
      <w:pPr>
        <w:pStyle w:val="Normal"/>
        <w:numPr>
          <w:ilvl w:val="0"/>
          <w:numId w:val="23"/>
        </w:numPr>
        <w:tabs>
          <w:tab w:val="left" w:pos="720" w:leader="none"/>
        </w:tabs>
        <w:ind w:hanging="360" w:start="1080" w:end="0"/>
        <w:rPr/>
      </w:pPr>
      <w:r>
        <w:rPr/>
        <w:t>Customer shopping rates in Pennsylvania</w:t>
      </w:r>
    </w:p>
    <w:p>
      <w:pPr>
        <w:pStyle w:val="Normal"/>
        <w:numPr>
          <w:ilvl w:val="0"/>
          <w:numId w:val="23"/>
        </w:numPr>
        <w:tabs>
          <w:tab w:val="left" w:pos="720" w:leader="none"/>
        </w:tabs>
        <w:ind w:hanging="360" w:start="1080" w:end="0"/>
        <w:rPr/>
      </w:pPr>
      <w:r>
        <w:rPr/>
        <w:t>How the PA restructuring efforts have resulted in a fairly stable market</w:t>
      </w:r>
    </w:p>
    <w:p>
      <w:pPr>
        <w:pStyle w:val="Normal"/>
        <w:numPr>
          <w:ilvl w:val="0"/>
          <w:numId w:val="23"/>
        </w:numPr>
        <w:tabs>
          <w:tab w:val="left" w:pos="720" w:leader="none"/>
        </w:tabs>
        <w:ind w:hanging="360" w:start="1080" w:end="0"/>
        <w:rPr/>
      </w:pPr>
      <w:r>
        <w:rPr/>
        <w:t>What went wrong in California</w:t>
      </w:r>
    </w:p>
    <w:p>
      <w:pPr>
        <w:pStyle w:val="Normal"/>
        <w:numPr>
          <w:ilvl w:val="0"/>
          <w:numId w:val="23"/>
        </w:numPr>
        <w:tabs>
          <w:tab w:val="left" w:pos="720" w:leader="none"/>
        </w:tabs>
        <w:ind w:hanging="360" w:start="1080" w:end="0"/>
        <w:rPr/>
      </w:pPr>
      <w:r>
        <w:rPr/>
        <w:t>What other states can learn from California’s mistakes</w:t>
      </w:r>
    </w:p>
    <w:p>
      <w:pPr>
        <w:pStyle w:val="Normal"/>
        <w:numPr>
          <w:ilvl w:val="0"/>
          <w:numId w:val="23"/>
        </w:numPr>
        <w:tabs>
          <w:tab w:val="left" w:pos="720" w:leader="none"/>
        </w:tabs>
        <w:ind w:hanging="360" w:start="1080" w:end="0"/>
        <w:rPr/>
      </w:pPr>
      <w:r>
        <w:rPr/>
        <w:t>Why does Texas think they can do better?</w:t>
      </w:r>
    </w:p>
    <w:p>
      <w:pPr>
        <w:pStyle w:val="Normal"/>
        <w:numPr>
          <w:ilvl w:val="0"/>
          <w:numId w:val="23"/>
        </w:numPr>
        <w:tabs>
          <w:tab w:val="left" w:pos="720" w:leader="none"/>
        </w:tabs>
        <w:ind w:hanging="360" w:start="1080" w:end="0"/>
        <w:rPr/>
      </w:pPr>
      <w:r>
        <w:rPr/>
        <w:t>Hear how Texas plans to attack industry restructuring and develop an active and robust retail market</w:t>
      </w:r>
    </w:p>
    <w:p>
      <w:pPr>
        <w:pStyle w:val="Normal"/>
        <w:rPr/>
      </w:pPr>
      <w:r>
        <w:rPr>
          <w:i/>
        </w:rPr>
        <w:t>Elena Schmid, Vice President, Strategic Development</w:t>
      </w:r>
      <w:r>
        <w:rPr/>
        <w:t xml:space="preserve">, </w:t>
      </w:r>
      <w:r>
        <w:rPr>
          <w:b/>
        </w:rPr>
        <w:t>California ISO</w:t>
      </w:r>
      <w:r>
        <w:rPr/>
        <w:t xml:space="preserve"> (invited)</w:t>
      </w:r>
    </w:p>
    <w:p>
      <w:pPr>
        <w:pStyle w:val="Header"/>
        <w:tabs>
          <w:tab w:val="clear" w:pos="4320"/>
          <w:tab w:val="clear" w:pos="8640"/>
        </w:tabs>
        <w:rPr/>
      </w:pPr>
      <w:r>
        <w:rPr/>
        <w:t>Need to ID right speakers for TX and PA</w:t>
      </w:r>
    </w:p>
    <w:p>
      <w:pPr>
        <w:pStyle w:val="Normal"/>
        <w:rPr/>
      </w:pPr>
      <w:r>
        <w:rPr/>
      </w:r>
    </w:p>
    <w:p>
      <w:pPr>
        <w:pStyle w:val="Normal"/>
        <w:rPr/>
      </w:pPr>
      <w:r>
        <w:rPr/>
        <w:t xml:space="preserve">5:00 </w:t>
      </w:r>
      <w:r>
        <w:rPr>
          <w:i/>
        </w:rPr>
        <w:t>Close of Day One</w: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7">
                <wp:simplePos x="0" y="0"/>
                <wp:positionH relativeFrom="column">
                  <wp:posOffset>-50165</wp:posOffset>
                </wp:positionH>
                <wp:positionV relativeFrom="paragraph">
                  <wp:posOffset>49530</wp:posOffset>
                </wp:positionV>
                <wp:extent cx="6501130" cy="283210"/>
                <wp:effectExtent l="0" t="0" r="0" b="0"/>
                <wp:wrapNone/>
                <wp:docPr id="4" name="Frame4"/>
                <a:graphic xmlns:a="http://schemas.openxmlformats.org/drawingml/2006/main">
                  <a:graphicData uri="http://schemas.microsoft.com/office/word/2010/wordprocessingShape">
                    <wps:wsp>
                      <wps:cNvSpPr txBox="1"/>
                      <wps:spPr>
                        <a:xfrm>
                          <a:off x="0" y="0"/>
                          <a:ext cx="6501130" cy="283210"/>
                        </a:xfrm>
                        <a:prstGeom prst="rect"/>
                        <a:solidFill>
                          <a:srgbClr val="FFFFFF"/>
                        </a:solidFill>
                        <a:ln w="9525">
                          <a:solidFill>
                            <a:srgbClr val="000000"/>
                          </a:solidFill>
                        </a:ln>
                      </wps:spPr>
                      <wps:txbx>
                        <w:txbxContent>
                          <w:p>
                            <w:pPr>
                              <w:pStyle w:val="Normal"/>
                              <w:rPr/>
                            </w:pPr>
                            <w:r>
                              <w:rPr/>
                              <w:t xml:space="preserve">5:00 – 6:00 </w:t>
                            </w:r>
                            <w:r>
                              <w:rPr>
                                <w:i/>
                              </w:rPr>
                              <w:t>Wine and Cheese Networking Reception – Sponsorship Opportunity</w:t>
                            </w:r>
                          </w:p>
                        </w:txbxContent>
                      </wps:txbx>
                      <wps:bodyPr anchor="t" lIns="91440" tIns="45720" rIns="91440" bIns="45720">
                        <a:noAutofit/>
                      </wps:bodyPr>
                    </wps:wsp>
                  </a:graphicData>
                </a:graphic>
              </wp:anchor>
            </w:drawing>
          </mc:Choice>
          <mc:Fallback>
            <w:pict>
              <v:rect fillcolor="#FFFFFF" strokecolor="#000000" strokeweight="0pt" style="position:absolute;rotation:-0;width:511.9pt;height:22.3pt;mso-wrap-distance-left:9.05pt;mso-wrap-distance-right:9.05pt;mso-wrap-distance-top:0pt;mso-wrap-distance-bottom:0pt;margin-top:3.9pt;mso-position-vertical-relative:text;margin-left:-3.95pt;mso-position-horizontal-relative:text">
                <v:textbox>
                  <w:txbxContent>
                    <w:p>
                      <w:pPr>
                        <w:pStyle w:val="Normal"/>
                        <w:rPr/>
                      </w:pPr>
                      <w:r>
                        <w:rPr/>
                        <w:t xml:space="preserve">5:00 – 6:00 </w:t>
                      </w:r>
                      <w:r>
                        <w:rPr>
                          <w:i/>
                        </w:rPr>
                        <w:t>Wine and Cheese Networking Reception – Sponsorship Opportunity</w:t>
                      </w:r>
                    </w:p>
                  </w:txbxContent>
                </v:textbox>
                <w10:wrap type="none"/>
              </v:rect>
            </w:pict>
          </mc:Fallback>
        </mc:AlternateContent>
      </w:r>
    </w:p>
    <w:p>
      <w:pPr>
        <w:pStyle w:val="Normal"/>
        <w:rPr/>
      </w:pPr>
      <w:r>
        <w:rPr/>
      </w:r>
    </w:p>
    <w:p>
      <w:pPr>
        <w:pStyle w:val="Normal"/>
        <w:rPr/>
      </w:pPr>
      <w:r>
        <w:rPr/>
      </w:r>
    </w:p>
    <w:p>
      <w:pPr>
        <w:pStyle w:val="Heading5"/>
        <w:ind w:hanging="0" w:start="0"/>
        <w:rPr/>
      </w:pPr>
      <w:r>
        <w:rPr/>
        <w:t>Day Two – Tuesday, September 25, 2001</w:t>
      </w:r>
    </w:p>
    <w:p>
      <w:pPr>
        <w:pStyle w:val="Normal"/>
        <w:rPr/>
      </w:pPr>
      <w:r>
        <w:rPr/>
      </w:r>
    </w:p>
    <w:p>
      <w:pPr>
        <w:pStyle w:val="Normal"/>
        <w:rPr/>
      </w:pPr>
      <w:r>
        <w:rPr/>
        <w:t xml:space="preserve">7:45 </w:t>
      </w:r>
      <w:r>
        <w:rPr>
          <w:i/>
        </w:rPr>
        <w:t>Continental Breakfast – Sponsorship Opportunity</w:t>
      </w:r>
    </w:p>
    <w:p>
      <w:pPr>
        <w:pStyle w:val="Normal"/>
        <w:rPr/>
      </w:pPr>
      <w:r>
        <w:rPr/>
      </w:r>
    </w:p>
    <w:p>
      <w:pPr>
        <w:pStyle w:val="Normal"/>
        <w:rPr/>
      </w:pPr>
      <w:r>
        <w:rPr/>
        <w:t xml:space="preserve">8:15 </w:t>
      </w:r>
      <w:r>
        <w:rPr>
          <w:i/>
        </w:rPr>
        <w:t>Chairman’s Review of Day One</w: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5">
                <wp:simplePos x="0" y="0"/>
                <wp:positionH relativeFrom="column">
                  <wp:posOffset>-50165</wp:posOffset>
                </wp:positionH>
                <wp:positionV relativeFrom="paragraph">
                  <wp:posOffset>72390</wp:posOffset>
                </wp:positionV>
                <wp:extent cx="6501130" cy="483235"/>
                <wp:effectExtent l="0" t="0" r="0" b="0"/>
                <wp:wrapNone/>
                <wp:docPr id="5" name="Frame5"/>
                <a:graphic xmlns:a="http://schemas.openxmlformats.org/drawingml/2006/main">
                  <a:graphicData uri="http://schemas.microsoft.com/office/word/2010/wordprocessingShape">
                    <wps:wsp>
                      <wps:cNvSpPr txBox="1"/>
                      <wps:spPr>
                        <a:xfrm>
                          <a:off x="0" y="0"/>
                          <a:ext cx="6501130" cy="483235"/>
                        </a:xfrm>
                        <a:prstGeom prst="rect"/>
                        <a:solidFill>
                          <a:srgbClr val="FFFFFF"/>
                        </a:solidFill>
                        <a:ln w="9525">
                          <a:solidFill>
                            <a:srgbClr val="000000"/>
                          </a:solidFill>
                        </a:ln>
                      </wps:spPr>
                      <wps:txbx>
                        <w:txbxContent>
                          <w:p>
                            <w:pPr>
                              <w:pStyle w:val="Heading3"/>
                              <w:ind w:hanging="0" w:start="0"/>
                              <w:rPr/>
                            </w:pPr>
                            <w:r>
                              <w:rPr/>
                              <w:t>Mitigate the Risks of Providing Regulated Services with</w:t>
                            </w:r>
                          </w:p>
                          <w:p>
                            <w:pPr>
                              <w:pStyle w:val="Heading3"/>
                              <w:ind w:hanging="0" w:start="0"/>
                              <w:rPr/>
                            </w:pPr>
                            <w:r>
                              <w:rPr/>
                              <w:t>Pricing Strategies and Contract Negotiation</w:t>
                            </w:r>
                          </w:p>
                        </w:txbxContent>
                      </wps:txbx>
                      <wps:bodyPr anchor="t" lIns="91440" tIns="45720" rIns="91440" bIns="45720">
                        <a:noAutofit/>
                      </wps:bodyPr>
                    </wps:wsp>
                  </a:graphicData>
                </a:graphic>
              </wp:anchor>
            </w:drawing>
          </mc:Choice>
          <mc:Fallback>
            <w:pict>
              <v:rect fillcolor="#FFFFFF" strokecolor="#000000" strokeweight="0pt" style="position:absolute;rotation:-0;width:511.9pt;height:38.05pt;mso-wrap-distance-left:9.05pt;mso-wrap-distance-right:9.05pt;mso-wrap-distance-top:0pt;mso-wrap-distance-bottom:0pt;margin-top:5.7pt;mso-position-vertical-relative:text;margin-left:-3.95pt;mso-position-horizontal-relative:text">
                <v:textbox>
                  <w:txbxContent>
                    <w:p>
                      <w:pPr>
                        <w:pStyle w:val="Heading3"/>
                        <w:ind w:hanging="0" w:start="0"/>
                        <w:rPr/>
                      </w:pPr>
                      <w:r>
                        <w:rPr/>
                        <w:t>Mitigate the Risks of Providing Regulated Services with</w:t>
                      </w:r>
                    </w:p>
                    <w:p>
                      <w:pPr>
                        <w:pStyle w:val="Heading3"/>
                        <w:ind w:hanging="0" w:start="0"/>
                        <w:rPr/>
                      </w:pPr>
                      <w:r>
                        <w:rPr/>
                        <w:t>Pricing Strategies and Contract Negotiation</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t xml:space="preserve">8:30 </w:t>
      </w:r>
      <w:r>
        <w:rPr>
          <w:b/>
        </w:rPr>
        <w:t xml:space="preserve">Mitigate Risks with Default/Provider-of-Last-Resort and Standard Offer Service Pricing </w:t>
      </w:r>
    </w:p>
    <w:p>
      <w:pPr>
        <w:pStyle w:val="Normal"/>
        <w:numPr>
          <w:ilvl w:val="0"/>
          <w:numId w:val="26"/>
        </w:numPr>
        <w:tabs>
          <w:tab w:val="left" w:pos="720" w:leader="none"/>
        </w:tabs>
        <w:ind w:hanging="360" w:start="1080" w:end="0"/>
        <w:rPr/>
      </w:pPr>
      <w:r>
        <w:rPr/>
        <w:t>Select the criteria for establishing prices</w:t>
      </w:r>
    </w:p>
    <w:p>
      <w:pPr>
        <w:pStyle w:val="Normal"/>
        <w:numPr>
          <w:ilvl w:val="0"/>
          <w:numId w:val="9"/>
        </w:numPr>
        <w:tabs>
          <w:tab w:val="left" w:pos="720" w:leader="none"/>
        </w:tabs>
        <w:ind w:hanging="360" w:start="1440" w:end="0"/>
        <w:rPr/>
      </w:pPr>
      <w:r>
        <w:rPr/>
        <w:t>market prices</w:t>
      </w:r>
    </w:p>
    <w:p>
      <w:pPr>
        <w:pStyle w:val="Normal"/>
        <w:numPr>
          <w:ilvl w:val="0"/>
          <w:numId w:val="9"/>
        </w:numPr>
        <w:tabs>
          <w:tab w:val="left" w:pos="720" w:leader="none"/>
        </w:tabs>
        <w:ind w:hanging="360" w:start="1440" w:end="0"/>
        <w:rPr/>
      </w:pPr>
      <w:r>
        <w:rPr/>
        <w:t>cost of supply</w:t>
      </w:r>
    </w:p>
    <w:p>
      <w:pPr>
        <w:pStyle w:val="Normal"/>
        <w:numPr>
          <w:ilvl w:val="0"/>
          <w:numId w:val="9"/>
        </w:numPr>
        <w:tabs>
          <w:tab w:val="left" w:pos="720" w:leader="none"/>
        </w:tabs>
        <w:ind w:hanging="360" w:start="1440" w:end="0"/>
        <w:rPr/>
      </w:pPr>
      <w:r>
        <w:rPr/>
        <w:t>incentive to participate in the market</w:t>
      </w:r>
    </w:p>
    <w:p>
      <w:pPr>
        <w:pStyle w:val="Normal"/>
        <w:numPr>
          <w:ilvl w:val="0"/>
          <w:numId w:val="29"/>
        </w:numPr>
        <w:tabs>
          <w:tab w:val="left" w:pos="720" w:leader="none"/>
        </w:tabs>
        <w:ind w:hanging="360" w:start="1080" w:end="0"/>
        <w:rPr/>
      </w:pPr>
      <w:r>
        <w:rPr/>
        <w:t>Set prices that will eliminate opportunities for gaming</w:t>
      </w:r>
    </w:p>
    <w:p>
      <w:pPr>
        <w:pStyle w:val="Normal"/>
        <w:numPr>
          <w:ilvl w:val="0"/>
          <w:numId w:val="29"/>
        </w:numPr>
        <w:tabs>
          <w:tab w:val="left" w:pos="720" w:leader="none"/>
        </w:tabs>
        <w:ind w:hanging="360" w:start="1080" w:end="0"/>
        <w:rPr/>
      </w:pPr>
      <w:r>
        <w:rPr/>
        <w:t>Should seasonal pricing be used for default service?</w:t>
      </w:r>
    </w:p>
    <w:p>
      <w:pPr>
        <w:pStyle w:val="Normal"/>
        <w:numPr>
          <w:ilvl w:val="0"/>
          <w:numId w:val="29"/>
        </w:numPr>
        <w:tabs>
          <w:tab w:val="left" w:pos="720" w:leader="none"/>
        </w:tabs>
        <w:ind w:hanging="360" w:start="1080" w:end="0"/>
        <w:rPr/>
      </w:pPr>
      <w:r>
        <w:rPr/>
        <w:t>Mitigate the risks to the provider of service</w:t>
      </w:r>
    </w:p>
    <w:p>
      <w:pPr>
        <w:pStyle w:val="Normal"/>
        <w:numPr>
          <w:ilvl w:val="0"/>
          <w:numId w:val="10"/>
        </w:numPr>
        <w:tabs>
          <w:tab w:val="clear" w:pos="720"/>
          <w:tab w:val="left" w:pos="1080" w:leader="none"/>
        </w:tabs>
        <w:ind w:hanging="360" w:start="1080" w:end="0"/>
        <w:rPr/>
      </w:pPr>
      <w:r>
        <w:rPr/>
        <w:t>Balance fair pricing with an incentive to shop</w:t>
      </w:r>
    </w:p>
    <w:p>
      <w:pPr>
        <w:pStyle w:val="Normal"/>
        <w:rPr/>
      </w:pPr>
      <w:r>
        <w:rPr>
          <w:i/>
        </w:rPr>
        <w:t>David O’Connor, Commissioner</w:t>
      </w:r>
      <w:r>
        <w:rPr/>
        <w:t xml:space="preserve">, </w:t>
      </w:r>
      <w:r>
        <w:rPr>
          <w:b/>
        </w:rPr>
        <w:t>MA Division of Energy Resources</w:t>
      </w:r>
      <w:r>
        <w:rPr/>
        <w:t xml:space="preserve"> (invited)</w:t>
      </w:r>
    </w:p>
    <w:p>
      <w:pPr>
        <w:pStyle w:val="Normal"/>
        <w:rPr/>
      </w:pPr>
      <w:r>
        <w:rPr/>
      </w:r>
    </w:p>
    <w:p>
      <w:pPr>
        <w:pStyle w:val="Normal"/>
        <w:rPr/>
      </w:pPr>
      <w:r>
        <w:rPr/>
        <w:t xml:space="preserve">9:15 </w:t>
      </w:r>
      <w:r>
        <w:rPr>
          <w:b/>
        </w:rPr>
        <w:t>Negotiate Successful Contracts for Regulated Power Supplies</w:t>
      </w:r>
    </w:p>
    <w:p>
      <w:pPr>
        <w:pStyle w:val="Normal"/>
        <w:rPr/>
      </w:pPr>
      <w:r>
        <w:rPr/>
        <w:t>In most cases, electric restructuring came with a requirement, or strong incentive, for utilities to divest their generating facilities. With the majority of customers being supplied through Standards Offer and Default/Supplier-of-Last-Resort Services, distribution companies are faced with the task of seeking and purchasing wholesale power to supply these customers.  Market price volatility and risk demand that companies understand how to negotiate the best possible terms for these supply contracts.</w:t>
      </w:r>
    </w:p>
    <w:p>
      <w:pPr>
        <w:pStyle w:val="Normal"/>
        <w:numPr>
          <w:ilvl w:val="0"/>
          <w:numId w:val="28"/>
        </w:numPr>
        <w:tabs>
          <w:tab w:val="clear" w:pos="720"/>
          <w:tab w:val="left" w:pos="1080" w:leader="none"/>
        </w:tabs>
        <w:ind w:hanging="360" w:start="1080" w:end="0"/>
        <w:rPr/>
      </w:pPr>
      <w:r>
        <w:rPr/>
        <w:t>Examine your purchasing options</w:t>
      </w:r>
    </w:p>
    <w:p>
      <w:pPr>
        <w:pStyle w:val="Normal"/>
        <w:numPr>
          <w:ilvl w:val="0"/>
          <w:numId w:val="17"/>
        </w:numPr>
        <w:tabs>
          <w:tab w:val="clear" w:pos="720"/>
          <w:tab w:val="left" w:pos="1440" w:leader="none"/>
        </w:tabs>
        <w:ind w:hanging="360" w:start="1440" w:end="0"/>
        <w:rPr/>
      </w:pPr>
      <w:r>
        <w:rPr/>
        <w:t>short-term contracts</w:t>
      </w:r>
    </w:p>
    <w:p>
      <w:pPr>
        <w:pStyle w:val="Normal"/>
        <w:numPr>
          <w:ilvl w:val="0"/>
          <w:numId w:val="17"/>
        </w:numPr>
        <w:tabs>
          <w:tab w:val="clear" w:pos="720"/>
          <w:tab w:val="left" w:pos="1440" w:leader="none"/>
        </w:tabs>
        <w:ind w:hanging="360" w:start="1440" w:end="0"/>
        <w:rPr/>
      </w:pPr>
      <w:r>
        <w:rPr/>
        <w:t>long-term contracts</w:t>
      </w:r>
    </w:p>
    <w:p>
      <w:pPr>
        <w:pStyle w:val="Normal"/>
        <w:numPr>
          <w:ilvl w:val="0"/>
          <w:numId w:val="17"/>
        </w:numPr>
        <w:tabs>
          <w:tab w:val="clear" w:pos="720"/>
          <w:tab w:val="left" w:pos="1440" w:leader="none"/>
        </w:tabs>
        <w:ind w:hanging="360" w:start="1440" w:end="0"/>
        <w:rPr/>
      </w:pPr>
      <w:r>
        <w:rPr/>
        <w:t>purchase from spot market</w:t>
      </w:r>
    </w:p>
    <w:p>
      <w:pPr>
        <w:pStyle w:val="Normal"/>
        <w:numPr>
          <w:ilvl w:val="0"/>
          <w:numId w:val="31"/>
        </w:numPr>
        <w:tabs>
          <w:tab w:val="clear" w:pos="720"/>
          <w:tab w:val="left" w:pos="1080" w:leader="none"/>
        </w:tabs>
        <w:ind w:hanging="360" w:start="1080" w:end="0"/>
        <w:rPr/>
      </w:pPr>
      <w:r>
        <w:rPr/>
        <w:t>Does it make sense to buy at index if you are required to sell at fixed, capped prices?</w:t>
      </w:r>
    </w:p>
    <w:p>
      <w:pPr>
        <w:pStyle w:val="Normal"/>
        <w:numPr>
          <w:ilvl w:val="0"/>
          <w:numId w:val="31"/>
        </w:numPr>
        <w:tabs>
          <w:tab w:val="clear" w:pos="720"/>
          <w:tab w:val="left" w:pos="1080" w:leader="none"/>
        </w:tabs>
        <w:ind w:hanging="360" w:start="1080" w:end="0"/>
        <w:rPr/>
      </w:pPr>
      <w:r>
        <w:rPr/>
        <w:t>Know what risks you face today, and tomorrow, based on the terms of the deal</w:t>
      </w:r>
    </w:p>
    <w:p>
      <w:pPr>
        <w:pStyle w:val="Normal"/>
        <w:numPr>
          <w:ilvl w:val="0"/>
          <w:numId w:val="31"/>
        </w:numPr>
        <w:tabs>
          <w:tab w:val="clear" w:pos="720"/>
          <w:tab w:val="left" w:pos="1080" w:leader="none"/>
        </w:tabs>
        <w:ind w:hanging="360" w:start="1080" w:end="0"/>
        <w:rPr/>
      </w:pPr>
      <w:r>
        <w:rPr/>
        <w:t>Who will have to pay for differences between wholesale and retail prices – Your company or your customers?</w:t>
      </w:r>
    </w:p>
    <w:p>
      <w:pPr>
        <w:pStyle w:val="Normal"/>
        <w:rPr/>
      </w:pPr>
      <w:r>
        <w:rPr/>
      </w:r>
    </w:p>
    <w:p>
      <w:pPr>
        <w:pStyle w:val="Normal"/>
        <w:rPr/>
      </w:pPr>
      <w:r>
        <w:rPr/>
      </w:r>
    </w:p>
    <w:p>
      <w:pPr>
        <w:pStyle w:val="Normal"/>
        <w:rPr/>
      </w:pPr>
      <w:r>
        <w:rPr/>
        <w:t xml:space="preserve">10:00 </w:t>
      </w:r>
      <w:r>
        <w:rPr>
          <w:i/>
        </w:rPr>
        <w:t>Networking &amp; Refreshment Break – Sponsorship Opportunity</w:t>
      </w:r>
    </w:p>
    <w:p>
      <w:pPr>
        <w:pStyle w:val="Normal"/>
        <w:rPr>
          <w:i/>
          <w:i/>
        </w:rPr>
      </w:pPr>
      <w:r>
        <w:rPr>
          <w:i/>
        </w:rPr>
      </w:r>
    </w:p>
    <w:p>
      <w:pPr>
        <w:pStyle w:val="Normal"/>
        <w:rPr/>
      </w:pPr>
      <w:r>
        <w:rPr/>
        <w:t xml:space="preserve">10:30 </w:t>
      </w:r>
      <w:r>
        <w:rPr>
          <w:b/>
        </w:rPr>
        <w:t xml:space="preserve">Pricing for Standby Service – When Utilities Become Suppliers of Delivery Services to Generators </w:t>
      </w:r>
    </w:p>
    <w:p>
      <w:pPr>
        <w:pStyle w:val="Normal"/>
        <w:numPr>
          <w:ilvl w:val="0"/>
          <w:numId w:val="22"/>
        </w:numPr>
        <w:tabs>
          <w:tab w:val="left" w:pos="720" w:leader="none"/>
        </w:tabs>
        <w:ind w:hanging="360" w:start="1080" w:end="0"/>
        <w:rPr/>
      </w:pPr>
      <w:r>
        <w:rPr/>
        <w:t>Understand the different types of standby service that the utility can offer</w:t>
      </w:r>
    </w:p>
    <w:p>
      <w:pPr>
        <w:pStyle w:val="Normal"/>
        <w:numPr>
          <w:ilvl w:val="0"/>
          <w:numId w:val="4"/>
        </w:numPr>
        <w:tabs>
          <w:tab w:val="left" w:pos="720" w:leader="none"/>
        </w:tabs>
        <w:ind w:hanging="360" w:start="1080" w:end="0"/>
        <w:rPr/>
      </w:pPr>
      <w:r>
        <w:rPr/>
        <w:t>Avoid subsidies of standby rates by other rate classes</w:t>
      </w:r>
    </w:p>
    <w:p>
      <w:pPr>
        <w:pStyle w:val="Normal"/>
        <w:numPr>
          <w:ilvl w:val="0"/>
          <w:numId w:val="4"/>
        </w:numPr>
        <w:tabs>
          <w:tab w:val="left" w:pos="720" w:leader="none"/>
        </w:tabs>
        <w:ind w:hanging="360" w:start="1080" w:end="0"/>
        <w:rPr/>
      </w:pPr>
      <w:r>
        <w:rPr/>
        <w:t>Ensure adequate cost recovery through rate design</w:t>
      </w:r>
    </w:p>
    <w:p>
      <w:pPr>
        <w:pStyle w:val="Normal"/>
        <w:numPr>
          <w:ilvl w:val="0"/>
          <w:numId w:val="4"/>
        </w:numPr>
        <w:tabs>
          <w:tab w:val="left" w:pos="720" w:leader="none"/>
        </w:tabs>
        <w:ind w:hanging="360" w:start="1080" w:end="0"/>
        <w:rPr/>
      </w:pPr>
      <w:r>
        <w:rPr/>
        <w:t>Distinguish between pricing for demand and delivery – Fixed vs. variable costs</w:t>
      </w:r>
    </w:p>
    <w:p>
      <w:pPr>
        <w:pStyle w:val="Normal"/>
        <w:rPr/>
      </w:pPr>
      <w:r>
        <w:rPr>
          <w:i/>
        </w:rPr>
        <w:t>Timothy McClive, Corporate Planner</w:t>
      </w:r>
      <w:r>
        <w:rPr/>
        <w:t xml:space="preserve">, </w:t>
      </w:r>
      <w:r>
        <w:rPr>
          <w:b/>
        </w:rPr>
        <w:t>Niagara Mohawk Power Corp.</w:t>
      </w:r>
      <w:r>
        <w:rPr/>
        <w:t xml:space="preserve"> (confirmed, bullets due 4/17)</w:t>
      </w:r>
    </w:p>
    <w:p>
      <w:pPr>
        <w:pStyle w:val="Normal"/>
        <w:rPr/>
      </w:pPr>
      <w:r>
        <w:rPr/>
      </w:r>
    </w:p>
    <w:p>
      <w:pPr>
        <w:pStyle w:val="Normal"/>
        <w:rPr/>
      </w:pPr>
      <w:r>
        <w:rPr/>
        <w:t xml:space="preserve">11:15 </w:t>
      </w:r>
      <w:r>
        <w:rPr>
          <w:b/>
        </w:rPr>
        <w:t>Compete with Service Offerings and Value-Adds – Pricing for Wires, Billing and Metering Services</w:t>
      </w:r>
    </w:p>
    <w:p>
      <w:pPr>
        <w:pStyle w:val="Normal"/>
        <w:numPr>
          <w:ilvl w:val="0"/>
          <w:numId w:val="14"/>
        </w:numPr>
        <w:tabs>
          <w:tab w:val="clear" w:pos="720"/>
          <w:tab w:val="left" w:pos="1080" w:leader="none"/>
        </w:tabs>
        <w:ind w:hanging="360" w:start="1080" w:end="0"/>
        <w:rPr/>
      </w:pPr>
      <w:r>
        <w:rPr/>
        <w:t>Identify competitive and non-competitive services you can offer</w:t>
      </w:r>
    </w:p>
    <w:p>
      <w:pPr>
        <w:pStyle w:val="Normal"/>
        <w:numPr>
          <w:ilvl w:val="0"/>
          <w:numId w:val="14"/>
        </w:numPr>
        <w:tabs>
          <w:tab w:val="clear" w:pos="720"/>
          <w:tab w:val="left" w:pos="1080" w:leader="none"/>
        </w:tabs>
        <w:ind w:hanging="360" w:start="1080" w:end="0"/>
        <w:rPr/>
      </w:pPr>
      <w:r>
        <w:rPr/>
        <w:t>How efficiency and equity relate to pricing of distribution services</w:t>
      </w:r>
    </w:p>
    <w:p>
      <w:pPr>
        <w:pStyle w:val="Normal"/>
        <w:numPr>
          <w:ilvl w:val="0"/>
          <w:numId w:val="14"/>
        </w:numPr>
        <w:tabs>
          <w:tab w:val="clear" w:pos="720"/>
          <w:tab w:val="left" w:pos="1080" w:leader="none"/>
        </w:tabs>
        <w:ind w:hanging="360" w:start="1080" w:end="0"/>
        <w:rPr/>
      </w:pPr>
      <w:r>
        <w:rPr/>
        <w:t>Pricing billing and customer services</w:t>
      </w:r>
    </w:p>
    <w:p>
      <w:pPr>
        <w:pStyle w:val="Normal"/>
        <w:numPr>
          <w:ilvl w:val="0"/>
          <w:numId w:val="14"/>
        </w:numPr>
        <w:tabs>
          <w:tab w:val="clear" w:pos="720"/>
          <w:tab w:val="left" w:pos="1080" w:leader="none"/>
        </w:tabs>
        <w:ind w:hanging="360" w:start="1080" w:end="0"/>
        <w:rPr/>
      </w:pPr>
      <w:r>
        <w:rPr/>
        <w:t>Choose metering options and corresponding pricing options</w:t>
      </w:r>
    </w:p>
    <w:p>
      <w:pPr>
        <w:pStyle w:val="Header"/>
        <w:tabs>
          <w:tab w:val="clear" w:pos="4320"/>
          <w:tab w:val="clear" w:pos="8640"/>
        </w:tabs>
        <w:rPr/>
      </w:pPr>
      <w:r>
        <w:rPr>
          <w:i/>
        </w:rPr>
        <w:t>George Blankenship, Director, Competition Phase-In</w:t>
      </w:r>
      <w:r>
        <w:rPr/>
        <w:t xml:space="preserve">, </w:t>
      </w:r>
      <w:r>
        <w:rPr>
          <w:b/>
        </w:rPr>
        <w:t>Allegheny Power</w:t>
      </w:r>
      <w:r>
        <w:rPr/>
        <w:t xml:space="preserve"> (confirmed, bullets due 5/10)</w:t>
      </w:r>
    </w:p>
    <w:p>
      <w:pPr>
        <w:pStyle w:val="Header"/>
        <w:tabs>
          <w:tab w:val="clear" w:pos="4320"/>
          <w:tab w:val="clear" w:pos="8640"/>
        </w:tabs>
        <w:rPr/>
      </w:pPr>
      <w:r>
        <w:rPr/>
      </w:r>
    </w:p>
    <w:p>
      <w:pPr>
        <w:pStyle w:val="Normal"/>
        <w:rPr/>
      </w:pPr>
      <w:r>
        <w:rPr/>
        <w:t xml:space="preserve">12:00 </w:t>
      </w:r>
      <w:r>
        <w:rPr>
          <w:i/>
        </w:rPr>
        <w:t>Luncheon – Sponsorship Opportunity</w: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-50165</wp:posOffset>
                </wp:positionH>
                <wp:positionV relativeFrom="paragraph">
                  <wp:posOffset>81280</wp:posOffset>
                </wp:positionV>
                <wp:extent cx="6501130" cy="283210"/>
                <wp:effectExtent l="0" t="0" r="0" b="0"/>
                <wp:wrapNone/>
                <wp:docPr id="6" name="Frame6"/>
                <a:graphic xmlns:a="http://schemas.openxmlformats.org/drawingml/2006/main">
                  <a:graphicData uri="http://schemas.microsoft.com/office/word/2010/wordprocessingShape">
                    <wps:wsp>
                      <wps:cNvSpPr txBox="1"/>
                      <wps:spPr>
                        <a:xfrm>
                          <a:off x="0" y="0"/>
                          <a:ext cx="6501130" cy="283210"/>
                        </a:xfrm>
                        <a:prstGeom prst="rect"/>
                        <a:solidFill>
                          <a:srgbClr val="FFFFFF"/>
                        </a:solidFill>
                        <a:ln w="9525">
                          <a:solidFill>
                            <a:srgbClr val="000000"/>
                          </a:solidFill>
                        </a:ln>
                      </wps:spPr>
                      <wps:txbx>
                        <w:txbxContent>
                          <w:p>
                            <w:pPr>
                              <w:pStyle w:val="Heading3"/>
                              <w:ind w:hanging="0" w:start="0"/>
                              <w:rPr/>
                            </w:pPr>
                            <w:r>
                              <w:rPr/>
                              <w:t>Establish Your Place in the Market and Increase Profits</w:t>
                            </w:r>
                          </w:p>
                        </w:txbxContent>
                      </wps:txbx>
                      <wps:bodyPr anchor="t" lIns="91440" tIns="45720" rIns="91440" bIns="45720">
                        <a:noAutofit/>
                      </wps:bodyPr>
                    </wps:wsp>
                  </a:graphicData>
                </a:graphic>
              </wp:anchor>
            </w:drawing>
          </mc:Choice>
          <mc:Fallback>
            <w:pict>
              <v:rect fillcolor="#FFFFFF" strokecolor="#000000" strokeweight="0pt" style="position:absolute;rotation:-0;width:511.9pt;height:22.3pt;mso-wrap-distance-left:9.05pt;mso-wrap-distance-right:9.05pt;mso-wrap-distance-top:0pt;mso-wrap-distance-bottom:0pt;margin-top:6.4pt;mso-position-vertical-relative:text;margin-left:-3.95pt;mso-position-horizontal-relative:text">
                <v:textbox>
                  <w:txbxContent>
                    <w:p>
                      <w:pPr>
                        <w:pStyle w:val="Heading3"/>
                        <w:ind w:hanging="0" w:start="0"/>
                        <w:rPr/>
                      </w:pPr>
                      <w:r>
                        <w:rPr/>
                        <w:t>Establish Your Place in the Market and Increase Profits</w:t>
                      </w:r>
                    </w:p>
                  </w:txbxContent>
                </v:textbox>
                <w10:wrap type="none"/>
              </v:rect>
            </w:pict>
          </mc:Fallback>
        </mc:AlternateContent>
      </w:r>
    </w:p>
    <w:p>
      <w:pPr>
        <w:pStyle w:val="Normal"/>
        <w:rPr/>
      </w:pPr>
      <w:r>
        <w:rPr/>
      </w:r>
    </w:p>
    <w:p>
      <w:pPr>
        <w:pStyle w:val="Normal"/>
        <w:rPr/>
      </w:pPr>
      <w:r>
        <w:rPr/>
      </w:r>
    </w:p>
    <w:p>
      <w:pPr>
        <w:pStyle w:val="Normal"/>
        <w:rPr/>
      </w:pPr>
      <w:r>
        <w:rPr/>
        <w:t xml:space="preserve">1:15 </w:t>
      </w:r>
      <w:r>
        <w:rPr>
          <w:b/>
        </w:rPr>
        <w:t>Identify Your Company’s Position in the Marketplace – How to Develop Meaningful Forward Price Curves</w:t>
      </w:r>
    </w:p>
    <w:p>
      <w:pPr>
        <w:pStyle w:val="Normal"/>
        <w:rPr/>
      </w:pPr>
      <w:r>
        <w:rPr/>
        <w:t>In today’s constantly changing energy market, what do long-term price forecasts really mean?  Learn alternative approaches to forecasting using market information and different market scenarios.  By developing forward price curves for competing companies, you can see how your company compares.</w:t>
      </w:r>
    </w:p>
    <w:p>
      <w:pPr>
        <w:pStyle w:val="Normal"/>
        <w:numPr>
          <w:ilvl w:val="0"/>
          <w:numId w:val="24"/>
        </w:numPr>
        <w:tabs>
          <w:tab w:val="left" w:pos="720" w:leader="none"/>
        </w:tabs>
        <w:ind w:hanging="360" w:start="1080" w:end="0"/>
        <w:rPr/>
      </w:pPr>
      <w:r>
        <w:rPr/>
        <w:t>The definition of a “good” market price forecast</w:t>
      </w:r>
    </w:p>
    <w:p>
      <w:pPr>
        <w:pStyle w:val="Normal"/>
        <w:numPr>
          <w:ilvl w:val="0"/>
          <w:numId w:val="15"/>
        </w:numPr>
        <w:tabs>
          <w:tab w:val="left" w:pos="720" w:leader="none"/>
        </w:tabs>
        <w:ind w:hanging="360" w:start="1440" w:end="0"/>
        <w:rPr/>
      </w:pPr>
      <w:r>
        <w:rPr/>
        <w:t>what variables to include</w:t>
      </w:r>
    </w:p>
    <w:p>
      <w:pPr>
        <w:pStyle w:val="Normal"/>
        <w:numPr>
          <w:ilvl w:val="0"/>
          <w:numId w:val="15"/>
        </w:numPr>
        <w:tabs>
          <w:tab w:val="left" w:pos="720" w:leader="none"/>
        </w:tabs>
        <w:ind w:hanging="360" w:start="1440" w:end="0"/>
        <w:rPr/>
      </w:pPr>
      <w:r>
        <w:rPr/>
        <w:t>what variables to exclude</w:t>
      </w:r>
    </w:p>
    <w:p>
      <w:pPr>
        <w:pStyle w:val="Normal"/>
        <w:numPr>
          <w:ilvl w:val="0"/>
          <w:numId w:val="15"/>
        </w:numPr>
        <w:tabs>
          <w:tab w:val="left" w:pos="720" w:leader="none"/>
        </w:tabs>
        <w:ind w:hanging="360" w:start="1440" w:end="0"/>
        <w:rPr/>
      </w:pPr>
      <w:r>
        <w:rPr/>
        <w:t xml:space="preserve">reflect real market conditions  </w:t>
      </w:r>
    </w:p>
    <w:p>
      <w:pPr>
        <w:pStyle w:val="Normal"/>
        <w:numPr>
          <w:ilvl w:val="0"/>
          <w:numId w:val="24"/>
        </w:numPr>
        <w:tabs>
          <w:tab w:val="left" w:pos="720" w:leader="none"/>
        </w:tabs>
        <w:ind w:hanging="360" w:start="1080" w:end="0"/>
        <w:rPr/>
      </w:pPr>
      <w:r>
        <w:rPr/>
        <w:t>How to account for uncertainty in your forecast</w:t>
      </w:r>
    </w:p>
    <w:p>
      <w:pPr>
        <w:pStyle w:val="Normal"/>
        <w:numPr>
          <w:ilvl w:val="0"/>
          <w:numId w:val="24"/>
        </w:numPr>
        <w:tabs>
          <w:tab w:val="left" w:pos="720" w:leader="none"/>
        </w:tabs>
        <w:ind w:hanging="360" w:start="1080" w:end="0"/>
        <w:rPr/>
      </w:pPr>
      <w:r>
        <w:rPr/>
        <w:t>Know when proxy data can be used, where to find proxy data and how to integrate proxy data into your model</w:t>
      </w:r>
    </w:p>
    <w:p>
      <w:pPr>
        <w:pStyle w:val="Normal"/>
        <w:numPr>
          <w:ilvl w:val="0"/>
          <w:numId w:val="24"/>
        </w:numPr>
        <w:tabs>
          <w:tab w:val="left" w:pos="720" w:leader="none"/>
        </w:tabs>
        <w:ind w:hanging="360" w:start="1080" w:end="0"/>
        <w:rPr/>
      </w:pPr>
      <w:r>
        <w:rPr/>
        <w:t>Can regulatory risk be modeled and translated into pricing?</w:t>
      </w:r>
    </w:p>
    <w:p>
      <w:pPr>
        <w:pStyle w:val="Normal"/>
        <w:rPr>
          <w:b/>
        </w:rPr>
      </w:pPr>
      <w:r>
        <w:rPr>
          <w:b/>
        </w:rPr>
      </w:r>
    </w:p>
    <w:p>
      <w:pPr>
        <w:pStyle w:val="Normal"/>
        <w:rPr/>
      </w:pPr>
      <w:r>
        <w:rPr/>
        <w:t xml:space="preserve">2:00 </w:t>
      </w:r>
      <w:r>
        <w:rPr>
          <w:b/>
        </w:rPr>
        <w:t>Real Time Pricing – How it Works, Benefits and Risks</w:t>
      </w:r>
    </w:p>
    <w:p>
      <w:pPr>
        <w:pStyle w:val="Normal"/>
        <w:numPr>
          <w:ilvl w:val="0"/>
          <w:numId w:val="3"/>
        </w:numPr>
        <w:tabs>
          <w:tab w:val="left" w:pos="720" w:leader="none"/>
        </w:tabs>
        <w:ind w:hanging="360" w:start="1080" w:end="0"/>
        <w:rPr/>
      </w:pPr>
      <w:r>
        <w:rPr/>
        <w:t>Understand who bears the burden of risk in an RTP setting</w:t>
      </w:r>
    </w:p>
    <w:p>
      <w:pPr>
        <w:pStyle w:val="Normal"/>
        <w:numPr>
          <w:ilvl w:val="0"/>
          <w:numId w:val="3"/>
        </w:numPr>
        <w:tabs>
          <w:tab w:val="left" w:pos="720" w:leader="none"/>
        </w:tabs>
        <w:ind w:hanging="360" w:start="1080" w:end="0"/>
        <w:rPr/>
      </w:pPr>
      <w:r>
        <w:rPr/>
        <w:t>What are the benefits to offering RTP to customers?</w:t>
      </w:r>
    </w:p>
    <w:p>
      <w:pPr>
        <w:pStyle w:val="Normal"/>
        <w:numPr>
          <w:ilvl w:val="0"/>
          <w:numId w:val="3"/>
        </w:numPr>
        <w:tabs>
          <w:tab w:val="left" w:pos="720" w:leader="none"/>
        </w:tabs>
        <w:ind w:hanging="360" w:start="1080" w:end="0"/>
        <w:rPr/>
      </w:pPr>
      <w:r>
        <w:rPr/>
        <w:t>How to entice customers to participate in RTP programs</w:t>
      </w:r>
    </w:p>
    <w:p>
      <w:pPr>
        <w:pStyle w:val="Normal"/>
        <w:numPr>
          <w:ilvl w:val="0"/>
          <w:numId w:val="3"/>
        </w:numPr>
        <w:tabs>
          <w:tab w:val="left" w:pos="720" w:leader="none"/>
        </w:tabs>
        <w:ind w:hanging="360" w:start="1080" w:end="0"/>
        <w:rPr/>
      </w:pPr>
      <w:r>
        <w:rPr/>
        <w:t>How to determine prices for an RTP program</w:t>
      </w:r>
    </w:p>
    <w:p>
      <w:pPr>
        <w:pStyle w:val="Normal"/>
        <w:numPr>
          <w:ilvl w:val="0"/>
          <w:numId w:val="3"/>
        </w:numPr>
        <w:tabs>
          <w:tab w:val="left" w:pos="720" w:leader="none"/>
        </w:tabs>
        <w:ind w:hanging="360" w:start="1080" w:end="0"/>
        <w:rPr/>
      </w:pPr>
      <w:r>
        <w:rPr/>
        <w:t>Measure the volatility of real time prices and determine whether and under what circumstances the benefits outweigh the risks</w:t>
      </w:r>
    </w:p>
    <w:p>
      <w:pPr>
        <w:pStyle w:val="Normal"/>
        <w:rPr>
          <w:b/>
        </w:rPr>
      </w:pPr>
      <w:r>
        <w:rPr>
          <w:i/>
        </w:rPr>
        <w:t>Mike O’Sheasy, need title</w:t>
      </w:r>
      <w:r>
        <w:rPr/>
        <w:t xml:space="preserve">, </w:t>
      </w:r>
      <w:r>
        <w:rPr>
          <w:b/>
        </w:rPr>
        <w:t>Georgia Power Co.</w:t>
      </w:r>
      <w:r>
        <w:rPr/>
        <w:t xml:space="preserve"> (confirmed, bullets due 4/17)</w:t>
      </w:r>
    </w:p>
    <w:p>
      <w:pPr>
        <w:pStyle w:val="Normal"/>
        <w:rPr>
          <w:b/>
        </w:rPr>
      </w:pPr>
      <w:r>
        <w:rPr>
          <w:b/>
        </w:rPr>
      </w:r>
    </w:p>
    <w:p>
      <w:pPr>
        <w:pStyle w:val="Normal"/>
        <w:rPr>
          <w:b/>
        </w:rPr>
      </w:pPr>
      <w:r>
        <w:rPr/>
        <w:t xml:space="preserve">2:45 </w:t>
      </w:r>
      <w:r>
        <w:rPr>
          <w:i/>
        </w:rPr>
        <w:t>Networking &amp; Refreshment Break – Sponsorship Opportunity</w:t>
      </w:r>
    </w:p>
    <w:p>
      <w:pPr>
        <w:pStyle w:val="Normal"/>
        <w:rPr>
          <w:b/>
        </w:rPr>
      </w:pPr>
      <w:r>
        <w:rPr>
          <w:b/>
        </w:rPr>
      </w:r>
    </w:p>
    <w:p>
      <w:pPr>
        <w:pStyle w:val="Normal"/>
        <w:rPr/>
      </w:pPr>
      <w:r>
        <w:rPr/>
        <w:t xml:space="preserve">3:00 </w:t>
      </w:r>
      <w:r>
        <w:rPr>
          <w:b/>
        </w:rPr>
        <w:t>Increase Customer Value and Profits with Product Differentiation and Prices that Reflect Price Elasticity and Sensitivity</w:t>
      </w:r>
    </w:p>
    <w:p>
      <w:pPr>
        <w:pStyle w:val="Normal"/>
        <w:numPr>
          <w:ilvl w:val="0"/>
          <w:numId w:val="33"/>
        </w:numPr>
        <w:tabs>
          <w:tab w:val="left" w:pos="720" w:leader="none"/>
        </w:tabs>
        <w:ind w:hanging="360" w:start="1080" w:end="0"/>
        <w:rPr/>
      </w:pPr>
      <w:r>
        <w:rPr/>
        <w:t>Understand your customer base and the relative price sensitivity of different customer classes</w:t>
      </w:r>
    </w:p>
    <w:p>
      <w:pPr>
        <w:pStyle w:val="Normal"/>
        <w:numPr>
          <w:ilvl w:val="0"/>
          <w:numId w:val="33"/>
        </w:numPr>
        <w:tabs>
          <w:tab w:val="left" w:pos="720" w:leader="none"/>
        </w:tabs>
        <w:ind w:hanging="360" w:start="1080" w:end="0"/>
        <w:rPr/>
      </w:pPr>
      <w:r>
        <w:rPr/>
        <w:t>Determine how complex or simple a pricing portfolio you need to offer customers</w:t>
      </w:r>
    </w:p>
    <w:p>
      <w:pPr>
        <w:pStyle w:val="Normal"/>
        <w:numPr>
          <w:ilvl w:val="0"/>
          <w:numId w:val="33"/>
        </w:numPr>
        <w:tabs>
          <w:tab w:val="left" w:pos="720" w:leader="none"/>
        </w:tabs>
        <w:ind w:hanging="360" w:start="1080" w:end="0"/>
        <w:rPr/>
      </w:pPr>
      <w:r>
        <w:rPr/>
        <w:t>Know which pricing scheme will benefit you most in the long run – Ratcheted vs. simple prices</w:t>
      </w:r>
    </w:p>
    <w:p>
      <w:pPr>
        <w:pStyle w:val="Normal"/>
        <w:numPr>
          <w:ilvl w:val="0"/>
          <w:numId w:val="11"/>
        </w:numPr>
        <w:tabs>
          <w:tab w:val="left" w:pos="720" w:leader="none"/>
        </w:tabs>
        <w:ind w:hanging="360" w:start="1080" w:end="0"/>
        <w:rPr/>
      </w:pPr>
      <w:r>
        <w:rPr/>
        <w:t>Turn customers’ risk aversion into an asset instead of a liability</w:t>
      </w:r>
    </w:p>
    <w:p>
      <w:pPr>
        <w:pStyle w:val="Normal"/>
        <w:rPr/>
      </w:pPr>
      <w:r>
        <w:rPr/>
      </w:r>
    </w:p>
    <w:p>
      <w:pPr>
        <w:pStyle w:val="Normal"/>
        <w:rPr/>
      </w:pPr>
      <w:r>
        <w:rPr/>
      </w:r>
    </w:p>
    <w:p>
      <w:pPr>
        <w:pStyle w:val="Normal"/>
        <w:rPr/>
      </w:pPr>
      <w:r>
        <w:rPr/>
        <w:t xml:space="preserve">3:45 </w:t>
      </w:r>
      <w:r>
        <w:rPr>
          <w:b/>
        </w:rPr>
        <w:t>Develop Innovative Products and Pricing Schemes</w:t>
      </w:r>
      <w:r>
        <w:rPr/>
        <w:t xml:space="preserve"> </w:t>
      </w:r>
    </w:p>
    <w:p>
      <w:pPr>
        <w:pStyle w:val="Normal"/>
        <w:numPr>
          <w:ilvl w:val="0"/>
          <w:numId w:val="32"/>
        </w:numPr>
        <w:tabs>
          <w:tab w:val="clear" w:pos="720"/>
          <w:tab w:val="left" w:pos="1080" w:leader="none"/>
        </w:tabs>
        <w:ind w:hanging="360" w:start="1080" w:end="0"/>
        <w:rPr/>
      </w:pPr>
      <w:r>
        <w:rPr/>
        <w:t>Increase customer satisfaction with new non-traditional product offerings</w:t>
      </w:r>
    </w:p>
    <w:p>
      <w:pPr>
        <w:pStyle w:val="Normal"/>
        <w:numPr>
          <w:ilvl w:val="0"/>
          <w:numId w:val="25"/>
        </w:numPr>
        <w:tabs>
          <w:tab w:val="clear" w:pos="720"/>
          <w:tab w:val="left" w:pos="1440" w:leader="none"/>
        </w:tabs>
        <w:ind w:hanging="360" w:start="1440" w:end="0"/>
        <w:rPr/>
      </w:pPr>
      <w:r>
        <w:rPr/>
        <w:t>merchant distributed generation</w:t>
      </w:r>
    </w:p>
    <w:p>
      <w:pPr>
        <w:pStyle w:val="Normal"/>
        <w:numPr>
          <w:ilvl w:val="0"/>
          <w:numId w:val="25"/>
        </w:numPr>
        <w:tabs>
          <w:tab w:val="clear" w:pos="720"/>
          <w:tab w:val="left" w:pos="1440" w:leader="none"/>
        </w:tabs>
        <w:ind w:hanging="360" w:start="1440" w:end="0"/>
        <w:rPr/>
      </w:pPr>
      <w:r>
        <w:rPr/>
        <w:t>price responsive demand management</w:t>
      </w:r>
    </w:p>
    <w:p>
      <w:pPr>
        <w:pStyle w:val="Normal"/>
        <w:numPr>
          <w:ilvl w:val="0"/>
          <w:numId w:val="8"/>
        </w:numPr>
        <w:tabs>
          <w:tab w:val="clear" w:pos="720"/>
          <w:tab w:val="left" w:pos="1080" w:leader="none"/>
        </w:tabs>
        <w:ind w:hanging="360" w:start="1080" w:end="0"/>
        <w:rPr/>
      </w:pPr>
      <w:r>
        <w:rPr/>
        <w:t>Establish prices for new product offerings and services that are</w:t>
      </w:r>
    </w:p>
    <w:p>
      <w:pPr>
        <w:pStyle w:val="Normal"/>
        <w:numPr>
          <w:ilvl w:val="0"/>
          <w:numId w:val="7"/>
        </w:numPr>
        <w:tabs>
          <w:tab w:val="clear" w:pos="720"/>
          <w:tab w:val="left" w:pos="1440" w:leader="none"/>
        </w:tabs>
        <w:ind w:hanging="360" w:start="1440" w:end="0"/>
        <w:rPr/>
      </w:pPr>
      <w:r>
        <w:rPr/>
        <w:t>aligned with customer needs</w:t>
      </w:r>
    </w:p>
    <w:p>
      <w:pPr>
        <w:pStyle w:val="Normal"/>
        <w:numPr>
          <w:ilvl w:val="0"/>
          <w:numId w:val="7"/>
        </w:numPr>
        <w:tabs>
          <w:tab w:val="clear" w:pos="720"/>
          <w:tab w:val="left" w:pos="1440" w:leader="none"/>
        </w:tabs>
        <w:ind w:hanging="360" w:start="1440" w:end="0"/>
        <w:rPr/>
      </w:pPr>
      <w:r>
        <w:rPr/>
        <w:t>compelling to customers</w:t>
      </w:r>
    </w:p>
    <w:p>
      <w:pPr>
        <w:pStyle w:val="Normal"/>
        <w:numPr>
          <w:ilvl w:val="0"/>
          <w:numId w:val="7"/>
        </w:numPr>
        <w:tabs>
          <w:tab w:val="clear" w:pos="720"/>
          <w:tab w:val="left" w:pos="1440" w:leader="none"/>
        </w:tabs>
        <w:ind w:hanging="360" w:start="1440" w:end="0"/>
        <w:rPr/>
      </w:pPr>
      <w:r>
        <w:rPr/>
        <w:t>revenue-generators for customer and provider</w:t>
      </w:r>
    </w:p>
    <w:p>
      <w:pPr>
        <w:pStyle w:val="Normal"/>
        <w:rPr/>
      </w:pPr>
      <w:r>
        <w:rPr>
          <w:i/>
        </w:rPr>
        <w:t>Paul DeMartini, Vice President, Energy Marketing &amp; Risk Practice</w:t>
      </w:r>
      <w:r>
        <w:rPr/>
        <w:t xml:space="preserve">, </w:t>
      </w:r>
      <w:r>
        <w:rPr>
          <w:b/>
        </w:rPr>
        <w:t>ICF Consulting</w:t>
      </w:r>
      <w:r>
        <w:rPr/>
        <w:t xml:space="preserve"> (finalized)</w:t>
      </w:r>
    </w:p>
    <w:p>
      <w:pPr>
        <w:pStyle w:val="Normal"/>
        <w:rPr/>
      </w:pPr>
      <w:r>
        <w:rPr/>
      </w:r>
    </w:p>
    <w:p>
      <w:pPr>
        <w:pStyle w:val="Normal"/>
        <w:rPr/>
      </w:pPr>
      <w:r>
        <w:rPr/>
        <w:t xml:space="preserve">4:30 </w:t>
      </w:r>
      <w:r>
        <w:rPr>
          <w:i/>
        </w:rPr>
        <w:t>Close of Conference</w:t>
      </w:r>
    </w:p>
    <w:p>
      <w:pPr>
        <w:pStyle w:val="Normal"/>
        <w:rPr/>
      </w:pPr>
      <w:r>
        <w:rPr/>
      </w:r>
    </w:p>
    <w:sectPr>
      <w:type w:val="nextPage"/>
      <w:pgSz w:w="12240" w:h="15840"/>
      <w:pgMar w:left="108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upperRoman"/>
      <w:lvlText w:val="%1."/>
      <w:lvlJc w:val="start"/>
      <w:pPr>
        <w:tabs>
          <w:tab w:val="num" w:pos="720"/>
        </w:tabs>
        <w:ind w:start="720" w:hanging="720"/>
      </w:pPr>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i/>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i/>
    </w:rPr>
  </w:style>
  <w:style w:type="paragraph" w:styleId="Heading6">
    <w:name w:val="heading 6"/>
    <w:basedOn w:val="Normal"/>
    <w:next w:val="Normal"/>
    <w:qFormat/>
    <w:pPr>
      <w:keepNext w:val="true"/>
      <w:numPr>
        <w:ilvl w:val="5"/>
        <w:numId w:val="1"/>
      </w:numPr>
      <w:jc w:val="center"/>
      <w:outlineLvl w:val="5"/>
    </w:pPr>
    <w:rPr>
      <w:b/>
      <w:sz w:val="36"/>
    </w:rPr>
  </w:style>
  <w:style w:type="paragraph" w:styleId="Heading7">
    <w:name w:val="heading 7"/>
    <w:basedOn w:val="Normal"/>
    <w:next w:val="Normal"/>
    <w:qFormat/>
    <w:pPr>
      <w:keepNext w:val="true"/>
      <w:numPr>
        <w:ilvl w:val="6"/>
        <w:numId w:val="1"/>
      </w:numPr>
      <w:jc w:val="center"/>
      <w:outlineLvl w:val="6"/>
    </w:pPr>
    <w:rPr>
      <w:b/>
      <w:sz w:val="48"/>
    </w:rPr>
  </w:style>
  <w:style w:type="paragraph" w:styleId="Heading8">
    <w:name w:val="heading 8"/>
    <w:basedOn w:val="Normal"/>
    <w:next w:val="Normal"/>
    <w:qFormat/>
    <w:pPr>
      <w:keepNext w:val="true"/>
      <w:numPr>
        <w:ilvl w:val="7"/>
        <w:numId w:val="1"/>
      </w:numPr>
      <w:jc w:val="center"/>
      <w:outlineLvl w:val="7"/>
    </w:pPr>
    <w:rPr>
      <w:b/>
      <w:sz w:val="40"/>
    </w:rPr>
  </w:style>
  <w:style w:type="paragraph" w:styleId="Heading9">
    <w:name w:val="heading 9"/>
    <w:basedOn w:val="Normal"/>
    <w:next w:val="Normal"/>
    <w:qFormat/>
    <w:pPr>
      <w:keepNext w:val="true"/>
      <w:numPr>
        <w:ilvl w:val="8"/>
        <w:numId w:val="1"/>
      </w:numPr>
      <w:outlineLvl w:val="8"/>
    </w:pPr>
    <w:rPr>
      <w:b/>
      <w:sz w:val="3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2001-04-16T10:15:00Z</dcterms:created>
  <dc:creator>Valerie Anderson</dc:creator>
  <dc:description/>
  <dc:language>en-CA</dc:language>
  <cp:lastModifiedBy>Valerie Anderson</cp:lastModifiedBy>
  <cp:lastPrinted>2001-05-09T14:16:00Z</cp:lastPrinted>
  <dcterms:modified xsi:type="dcterms:W3CDTF">2001-05-09T16:20:00Z</dcterms:modified>
  <cp:revision>43</cp:revision>
  <dc:subject/>
  <dc:title/>
</cp:coreProperties>
</file>