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720" w:end="0"/>
        <w:rPr/>
      </w:pPr>
      <w:r>
        <w:rPr>
          <w:rStyle w:val="MessageHeaderLabel"/>
          <w:rFonts w:cs="Arial"/>
          <w:sz w:val="22"/>
        </w:rPr>
        <w:t>Re:</w:t>
      </w:r>
      <w:r>
        <w:rPr>
          <w:rFonts w:cs="Arial" w:ascii="Arial" w:hAnsi="Arial"/>
        </w:rPr>
        <w:tab/>
      </w:r>
      <w:r>
        <w:rPr>
          <w:rFonts w:cs="Arial"/>
        </w:rPr>
        <w:t>San Diego Gas &amp; Electric residential electric bills viewed annually</w:t>
      </w:r>
    </w:p>
    <w:p>
      <w:pPr>
        <w:pStyle w:val="MessageHeader"/>
        <w:ind w:start="720" w:end="-360"/>
        <w:rPr>
          <w:sz w:val="22"/>
        </w:rPr>
      </w:pPr>
      <w:r>
        <w:rPr>
          <w:rStyle w:val="MessageHeaderLabel"/>
          <w:sz w:val="22"/>
        </w:rPr>
        <w:t>From:</w:t>
      </w:r>
      <w:r>
        <w:rPr>
          <w:sz w:val="22"/>
        </w:rPr>
        <w:tab/>
      </w:r>
      <w:r>
        <w:rPr>
          <w:rFonts w:cs="Bookman Old Style" w:ascii="Bookman Old Style" w:hAnsi="Bookman Old Style"/>
          <w:sz w:val="22"/>
        </w:rPr>
        <w:t>Fred Pickel; Tabors Caramanis &amp; Associates</w:t>
      </w:r>
    </w:p>
    <w:p>
      <w:pPr>
        <w:pStyle w:val="MessageHeader"/>
        <w:ind w:start="720" w:end="-360"/>
        <w:rPr>
          <w:sz w:val="22"/>
        </w:rPr>
      </w:pPr>
      <w:r>
        <w:rPr>
          <w:rStyle w:val="MessageHeaderLabel"/>
          <w:sz w:val="22"/>
        </w:rPr>
        <w:t>Date:</w:t>
      </w:r>
      <w:r>
        <w:rPr>
          <w:sz w:val="22"/>
        </w:rPr>
        <w:tab/>
      </w:r>
      <w:r>
        <w:rPr>
          <w:rFonts w:cs="Bookman Old Style" w:ascii="Bookman Old Style" w:hAnsi="Bookman Old Style"/>
          <w:sz w:val="22"/>
        </w:rPr>
        <w:t>August 11, 2000</w:t>
      </w:r>
    </w:p>
    <w:p>
      <w:pPr>
        <w:pStyle w:val="Normal"/>
        <w:rPr>
          <w:rStyle w:val="MessageHeaderLabel"/>
          <w:sz w:val="22"/>
        </w:rPr>
      </w:pPr>
      <w:r>
        <w:rPr>
          <w:sz w:val="22"/>
        </w:rPr>
      </w:r>
    </w:p>
    <w:p>
      <w:pPr>
        <w:pStyle w:val="Header"/>
        <w:tabs>
          <w:tab w:val="clear" w:pos="4320"/>
          <w:tab w:val="clear" w:pos="8640"/>
        </w:tabs>
        <w:rPr/>
      </w:pP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128270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1pt" to="467.95pt,10.1pt" stroked="t" o:allowincell="f" style="position:absolute">
                <v:stroke color="black" weight="9360" joinstyle="miter" endcap="flat"/>
                <v:fill o:detectmouseclick="t" on="false"/>
                <w10:wrap type="none"/>
              </v:line>
            </w:pict>
          </mc:Fallback>
        </mc:AlternateContent>
      </w:r>
      <w:r>
        <w:rPr>
          <w:rFonts w:cs="Garamond" w:ascii="Garamond" w:hAnsi="Garamond"/>
        </w:rPr>
        <w:tab/>
        <w:tab/>
        <w:tab/>
        <w:tab/>
        <w:tab/>
        <w:tab/>
        <w:tab/>
        <w:tab/>
        <w:tab/>
        <w:tab/>
        <w:tab/>
        <w:tab/>
        <w:tab/>
      </w:r>
    </w:p>
    <w:p>
      <w:pPr>
        <w:pStyle w:val="Header"/>
        <w:tabs>
          <w:tab w:val="clear" w:pos="4320"/>
          <w:tab w:val="clear" w:pos="8640"/>
        </w:tabs>
        <w:rPr>
          <w:rFonts w:ascii="Garamond" w:hAnsi="Garamond" w:cs="Garamond"/>
        </w:rPr>
      </w:pPr>
      <w:r>
        <w:rPr>
          <w:rFonts w:cs="Garamond" w:ascii="Garamond" w:hAnsi="Garamond"/>
        </w:rPr>
      </w:r>
    </w:p>
    <w:p>
      <w:pPr>
        <w:pStyle w:val="Normal"/>
        <w:rPr/>
      </w:pPr>
      <w:r>
        <w:rPr/>
        <w:t xml:space="preserve">The California press and politicians have focused on the month-to-month price increases for San Diego customers.  This approach </w:t>
      </w:r>
      <w:r>
        <w:rPr>
          <w:b/>
          <w:bCs/>
        </w:rPr>
        <w:t>overstates</w:t>
      </w:r>
      <w:r>
        <w:rPr/>
        <w:t xml:space="preserve"> the impact on a customer’s annual budget.  This memo looks at these impacts on a year to year basis, asking:</w:t>
      </w:r>
    </w:p>
    <w:p>
      <w:pPr>
        <w:pStyle w:val="Normal"/>
        <w:numPr>
          <w:ilvl w:val="0"/>
          <w:numId w:val="2"/>
        </w:numPr>
        <w:rPr/>
      </w:pPr>
      <w:r>
        <w:rPr/>
        <w:t>How have electricity prices changed on an annual basis for the residential customers of San Diego customers?</w:t>
      </w:r>
    </w:p>
    <w:p>
      <w:pPr>
        <w:pStyle w:val="Normal"/>
        <w:numPr>
          <w:ilvl w:val="0"/>
          <w:numId w:val="2"/>
        </w:numPr>
        <w:rPr/>
      </w:pPr>
      <w:r>
        <w:rPr/>
        <w:t xml:space="preserve">How might the customers fare for all of 2000? </w:t>
      </w:r>
    </w:p>
    <w:p>
      <w:pPr>
        <w:pStyle w:val="Normal"/>
        <w:rPr/>
      </w:pPr>
      <w:r>
        <w:rPr/>
      </w:r>
    </w:p>
    <w:p>
      <w:pPr>
        <w:pStyle w:val="Normal"/>
        <w:spacing w:before="0" w:after="120"/>
        <w:rPr>
          <w:b/>
          <w:bCs/>
        </w:rPr>
      </w:pPr>
      <w:r>
        <w:rPr>
          <w:b/>
          <w:bCs/>
        </w:rPr>
        <w:t>How have prices changed?</w:t>
      </w:r>
    </w:p>
    <w:p>
      <w:pPr>
        <w:pStyle w:val="Normal"/>
        <w:rPr/>
      </w:pPr>
      <w:r>
        <w:rPr/>
        <w:t xml:space="preserve">Through and including 1999, total residential electric rates have </w:t>
      </w:r>
      <w:r>
        <w:rPr>
          <w:i/>
          <w:iCs/>
        </w:rPr>
        <w:t>fallen</w:t>
      </w:r>
      <w:r>
        <w:rPr/>
        <w:t xml:space="preserve"> in SDG&amp;E.  For 1999, the rates were 3.6% lower than the average over the prior 5 years.  Stranded costs at SDG&amp;E dropped away in the summer of 1999.  Combined with moderate wholesale prices in 1999 and a summer price cap, this reduced overall residential rates for 1999 versus the prior 5-year average, but a slight increase over 1998.</w:t>
      </w:r>
    </w:p>
    <w:p>
      <w:pPr>
        <w:pStyle w:val="Normal"/>
        <w:rPr>
          <w:rFonts w:eastAsia="Bookman Old Style"/>
        </w:rPr>
      </w:pPr>
      <w:r>
        <w:rPr>
          <w:rFonts w:eastAsia="Bookman Old Style"/>
        </w:rPr>
        <w:t xml:space="preserve"> </w:t>
      </w:r>
    </w:p>
    <w:p>
      <w:pPr>
        <w:pStyle w:val="Normal"/>
        <w:rPr/>
      </w:pPr>
      <w:r>
        <w:rPr/>
        <w:t xml:space="preserve">Even with the increased prices in June 2000, for the first half of 2000, the rates were 1.9% </w:t>
      </w:r>
      <w:r>
        <w:rPr>
          <w:i/>
          <w:iCs/>
        </w:rPr>
        <w:t>lower</w:t>
      </w:r>
      <w:r>
        <w:rPr/>
        <w:t xml:space="preserve"> than the average over the prior 5 years.  </w:t>
      </w:r>
    </w:p>
    <w:p>
      <w:pPr>
        <w:pStyle w:val="Normal"/>
        <w:rPr/>
      </w:pPr>
      <w:r>
        <w:rPr/>
      </w:r>
    </w:p>
    <w:p>
      <w:pPr>
        <w:pStyle w:val="Normal"/>
        <w:rPr/>
      </w:pPr>
      <w:r>
        <w:rPr/>
        <w:t xml:space="preserve">However, the big price spike has been in July 2000....  July average residential bills are likely to be 87% higher than the prior 5 years’ average monthly bill.  If July is averaged in with the prior half year, the 7-month average bill through July 2000 is 10.8% higher than the average bill over the last 5 years.  </w:t>
      </w:r>
    </w:p>
    <w:p>
      <w:pPr>
        <w:pStyle w:val="Normal"/>
        <w:rPr/>
      </w:pPr>
      <w:r>
        <w:rPr/>
      </w:r>
    </w:p>
    <w:p>
      <w:pPr>
        <w:pStyle w:val="Normal"/>
        <w:rPr/>
      </w:pPr>
      <w:r>
        <w:rPr/>
        <w:t>This roughly 10% increase, on an annual basis, is far less than the “doubling of bills” viewed on just a month-to-month basis.  Customers, through level pay plans and fixed price agreements with marketers, should be able to budget and manage this price impact until new generation resources are available in California.</w:t>
      </w:r>
    </w:p>
    <w:p>
      <w:pPr>
        <w:pStyle w:val="Normal"/>
        <w:rPr/>
      </w:pPr>
      <w:r>
        <w:rPr/>
      </w:r>
    </w:p>
    <w:p>
      <w:pPr>
        <w:pStyle w:val="Normal"/>
        <w:spacing w:before="0" w:after="120"/>
        <w:rPr>
          <w:b/>
          <w:bCs/>
        </w:rPr>
      </w:pPr>
      <w:r>
        <w:rPr>
          <w:b/>
          <w:bCs/>
        </w:rPr>
        <w:t>California wholesale prices are still high – How might 2000 look in total?</w:t>
      </w:r>
    </w:p>
    <w:p>
      <w:pPr>
        <w:pStyle w:val="Normal"/>
        <w:rPr/>
      </w:pPr>
      <w:r>
        <w:rPr/>
        <w:t>Prices for the full year will likely be up 10 to 20%.  However, through its planned rebates to customers, SDG&amp;E may have alleviated the price spike and more – at least for 2000.</w:t>
      </w:r>
    </w:p>
    <w:p>
      <w:pPr>
        <w:pStyle w:val="Normal"/>
        <w:rPr/>
      </w:pPr>
      <w:r>
        <w:rPr/>
      </w:r>
    </w:p>
    <w:p>
      <w:pPr>
        <w:pStyle w:val="Normal"/>
        <w:rPr/>
      </w:pPr>
      <w:r>
        <w:rPr/>
        <w:t>Looking at two price scenarios, prices for the rest of 2000 may result in the average 2000 price being 13.7 to 16.6% higher than the average of the prior five years.  This is 16.8 to 19.8% higher than 1999.</w:t>
      </w:r>
    </w:p>
    <w:p>
      <w:pPr>
        <w:pStyle w:val="Normal"/>
        <w:rPr/>
      </w:pPr>
      <w:r>
        <w:rPr/>
      </w:r>
    </w:p>
    <w:p>
      <w:pPr>
        <w:pStyle w:val="Normal"/>
        <w:rPr/>
      </w:pPr>
      <w:r>
        <w:rPr/>
        <w:t xml:space="preserve">BUT, if you factor in the $500 million in rebates being offered by SDG&amp;E to its customers, allocated on a kWh basis of about $.035/kWh for the year, this results in LOWER prices for 2000.  The year will be (18.8%) to (15.9%) </w:t>
      </w:r>
      <w:r>
        <w:rPr>
          <w:i/>
          <w:iCs/>
        </w:rPr>
        <w:t>lower</w:t>
      </w:r>
      <w:r>
        <w:rPr/>
        <w:t xml:space="preserve"> than the prior five year average, and (13.7%) to (16.6%) lower than 1999’s average residential bill.</w:t>
      </w:r>
    </w:p>
    <w:p>
      <w:pPr>
        <w:pStyle w:val="Normal"/>
        <w:rPr/>
      </w:pPr>
      <w:r>
        <w:rPr/>
        <w:t>The two scenarios used to build this estimate for the remainder of 2000 are:</w:t>
      </w:r>
    </w:p>
    <w:p>
      <w:pPr>
        <w:pStyle w:val="Normal"/>
        <w:numPr>
          <w:ilvl w:val="0"/>
          <w:numId w:val="3"/>
        </w:numPr>
        <w:spacing w:before="120" w:after="0"/>
        <w:rPr/>
      </w:pPr>
      <w:r>
        <w:rPr/>
        <w:t>Scenario #1 (more expensive case) – This uses quoted prices in the wholesale forward market as of July 31, based on peak-hour price quotes and estimates of off-peak (which must include increased natural gas prices) for remainder of 2000.</w:t>
      </w:r>
    </w:p>
    <w:p>
      <w:pPr>
        <w:pStyle w:val="Normal"/>
        <w:numPr>
          <w:ilvl w:val="0"/>
          <w:numId w:val="3"/>
        </w:numPr>
        <w:spacing w:before="120" w:after="0"/>
        <w:rPr/>
      </w:pPr>
      <w:r>
        <w:rPr/>
        <w:t>Scenario #2 (lower one) – This assumes August prices are like July, September prices are like May, October prices are like April, November prices are like February, and December prices are like January 2000 prices.</w:t>
      </w:r>
    </w:p>
    <w:p>
      <w:pPr>
        <w:pStyle w:val="Normal"/>
        <w:spacing w:before="120" w:after="0"/>
        <w:rPr/>
      </w:pPr>
      <w:r>
        <w:rPr/>
        <w:t>Customers could work directly through marketers to get prices like forecast in Scenario #1 now.  This would allow them to “lock in” prices so they would not be subject to any further upward price surprises – although they would miss out if prices drop further than expected.  This would allow customers to better manage their budgets and reduce the risk inherent with the always volatile energy prices.</w:t>
      </w:r>
    </w:p>
    <w:p>
      <w:pPr>
        <w:pStyle w:val="Normal"/>
        <w:rPr/>
      </w:pPr>
      <w:r>
        <w:rPr/>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6529070" cy="446468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6529070" cy="4464685"/>
                    </a:xfrm>
                    <a:prstGeom prst="rect">
                      <a:avLst/>
                    </a:prstGeom>
                    <a:noFill/>
                  </pic:spPr>
                </pic:pic>
              </a:graphicData>
            </a:graphic>
          </wp:anchor>
        </w:drawing>
      </w:r>
    </w:p>
    <w:p>
      <w:pPr>
        <w:pStyle w:val="Normal"/>
        <w:rPr/>
      </w:pPr>
      <w:r>
        <w:rPr/>
      </w:r>
    </w:p>
    <w:p>
      <w:pPr>
        <w:pStyle w:val="Normal"/>
        <w:rPr/>
      </w:pPr>
      <w:r>
        <w:rPr/>
      </w:r>
    </w:p>
    <w:p>
      <w:pPr>
        <w:pStyle w:val="Normal"/>
        <w:rPr/>
      </w:pPr>
      <w:r>
        <w:rPr/>
      </w:r>
      <w:r>
        <w:br w:type="page"/>
      </w:r>
    </w:p>
    <w:p>
      <w:pPr>
        <w:pStyle w:val="Normal"/>
        <w:rPr/>
      </w:pPr>
      <w:r>
        <w:rPr/>
        <w:t>Technical Notes</w:t>
      </w:r>
    </w:p>
    <w:p>
      <w:pPr>
        <w:pStyle w:val="Normal"/>
        <w:rPr/>
      </w:pPr>
      <w:r>
        <w:rPr/>
      </w:r>
    </w:p>
    <w:p>
      <w:pPr>
        <w:pStyle w:val="Normal"/>
        <w:rPr/>
      </w:pPr>
      <w:r>
        <w:rPr/>
        <w:t>1.  The residential rate class is a mix of single and multifamily in multiple climate zones, so rates vary substantially even within the residential class.  The average non-energy rate (customer charge and mix of baseline and non-baseline variable charges) was estimated as $0.066/kWh for SDG&amp;E customers, based on average revenue reported and the published PX pricing for residential customers.</w:t>
      </w:r>
    </w:p>
    <w:p>
      <w:pPr>
        <w:pStyle w:val="Normal"/>
        <w:rPr/>
      </w:pPr>
      <w:r>
        <w:rPr/>
      </w:r>
    </w:p>
    <w:p>
      <w:pPr>
        <w:pStyle w:val="Normal"/>
        <w:rPr/>
      </w:pPr>
      <w:r>
        <w:rPr/>
        <w:t>2.  The energy prices are based on a 15th of the month billing.</w:t>
      </w:r>
    </w:p>
    <w:p>
      <w:pPr>
        <w:pStyle w:val="Normal"/>
        <w:rPr/>
      </w:pPr>
      <w:r>
        <w:rPr/>
      </w:r>
    </w:p>
    <w:p>
      <w:pPr>
        <w:pStyle w:val="Normal"/>
        <w:rPr/>
      </w:pPr>
      <w:r>
        <w:rPr/>
        <w:t xml:space="preserve">3.  Average usage has climbed steadily from 1993 to 1999 in San Diego, as would be expected with increasing incomes and falling prices.  Usage climbed 8% per customer between 1993 and 1999.  </w:t>
      </w:r>
    </w:p>
    <w:p>
      <w:pPr>
        <w:pStyle w:val="Normal"/>
        <w:rPr/>
      </w:pPr>
      <w:r>
        <w:rPr/>
      </w:r>
    </w:p>
    <w:p>
      <w:pPr>
        <w:pStyle w:val="Normal"/>
        <w:rPr/>
      </w:pPr>
      <w:r>
        <w:rPr/>
        <w:t>4.  July's average customer usage looks like it is above the "average" July from the 1999 load estimate by about 12% (and total use for July 2000 looks like it is 13.5% above the expected level for July 1999).</w:t>
      </w:r>
    </w:p>
    <w:p>
      <w:pPr>
        <w:pStyle w:val="Normal"/>
        <w:rPr/>
      </w:pPr>
      <w:r>
        <w:rPr/>
      </w:r>
    </w:p>
    <w:p>
      <w:pPr>
        <w:pStyle w:val="Normal"/>
        <w:rPr/>
      </w:pPr>
      <w:r>
        <w:rPr/>
        <w:t xml:space="preserve">5.  The drop in rates for 1998 was driven by the mandated 10% decrease in rates at the start of the California electricity restructuring. </w:t>
      </w:r>
    </w:p>
    <w:p>
      <w:pPr>
        <w:pStyle w:val="Normal"/>
        <w:rPr/>
      </w:pPr>
      <w:r>
        <w:rPr/>
      </w:r>
    </w:p>
    <w:p>
      <w:pPr>
        <w:pStyle w:val="Normal"/>
        <w:rPr/>
      </w:pPr>
      <w:r>
        <w:rPr/>
        <w:t xml:space="preserve">6. The forward market Scenario 1 was based on Block Forward Market quotes at the California PX available on July 31, along with estimates for the off peak period prices.  This week’s ISO price cap decision may lower the quoted forward prices for August and, perhaps, September. </w:t>
      </w:r>
    </w:p>
    <w:p>
      <w:pPr>
        <w:pStyle w:val="Normal"/>
        <w:rPr/>
      </w:pPr>
      <w:r>
        <w:rPr/>
      </w:r>
    </w:p>
    <w:p>
      <w:pPr>
        <w:pStyle w:val="Normal"/>
        <w:rPr/>
      </w:pPr>
      <w:r>
        <w:rPr/>
        <w:t>7. The average residential electric bill in 1997 was $684 per year in San Diego, compared to $848 for the average US residential customer in 1997.  Even with the higher increases based on Scenario #1 and without the benefits of the rebates, the average San Diego bill increases to $743, which is still about 1/8</w:t>
      </w:r>
      <w:r>
        <w:rPr>
          <w:vertAlign w:val="superscript"/>
        </w:rPr>
        <w:t>th</w:t>
      </w:r>
      <w:r>
        <w:rPr/>
        <w:t xml:space="preserve"> lower than the average US residential bill.  With the SDG&amp;E rebates, the average bill for 2000 will be $535 for the year under Scenario #1 – this is over 1/3 lower than the average US residential bill.</w:t>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432"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object w:dxaOrig="1560" w:dyaOrig="156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8.3pt;width:43.2pt;height:34.3pt;mso-wrap-distance-left:9.05pt;mso-wrap-distance-right:9.05pt;mso-position-horizontal-relative:text;mso-position-vertical-relative:text" filled="f" o:ole="">
          <v:imagedata r:id="rId2" o:title=""/>
          <w10:wrap type="topAndBottom"/>
        </v:shape>
        <o:OLEObject Type="Embed" ProgID="" ShapeID="ole_rId1" DrawAspect="Content" ObjectID="_1374206685" r:id="rId1"/>
      </w:object>
    </w:r>
  </w:p>
  <w:p>
    <w:pPr>
      <w:pStyle w:val="Header"/>
      <w:jc w:val="end"/>
      <w:rPr/>
    </w:pPr>
    <w:r>
      <w:rPr>
        <w:i/>
        <w:sz w:val="16"/>
      </w:rPr>
      <w:t xml:space="preserve">50 Church Street  </w:t>
    </w:r>
    <w:r>
      <w:rPr>
        <w:rFonts w:eastAsia="Marlett" w:cs="Marlett" w:ascii="Marlett" w:hAnsi="Marlett"/>
        <w:i/>
        <w:sz w:val="16"/>
      </w:rPr>
      <w:sym w:font="Marlett" w:char="f035"/>
    </w:r>
    <w:r>
      <w:rPr>
        <w:i/>
        <w:sz w:val="16"/>
      </w:rPr>
      <w:t xml:space="preserve"> Cambridge, MA 02138 </w:t>
    </w:r>
    <w:r>
      <w:rPr>
        <w:rFonts w:eastAsia="Marlett" w:cs="Marlett" w:ascii="Marlett" w:hAnsi="Marlett"/>
        <w:i/>
        <w:sz w:val="16"/>
      </w:rPr>
      <w:sym w:font="Marlett" w:char="f035"/>
    </w:r>
    <w:r>
      <w:rPr>
        <w:i/>
        <w:sz w:val="16"/>
      </w:rPr>
      <w:t xml:space="preserve"> 617-354-5304 </w:t>
    </w:r>
    <w:r>
      <w:rPr>
        <w:rFonts w:eastAsia="Marlett" w:cs="Marlett" w:ascii="Marlett" w:hAnsi="Marlett"/>
        <w:i/>
        <w:sz w:val="16"/>
      </w:rPr>
      <w:sym w:font="Marlett" w:char="f035"/>
    </w:r>
    <w:r>
      <w:rPr>
        <w:i/>
        <w:sz w:val="16"/>
      </w:rPr>
      <w:t xml:space="preserve"> fax 617-354-5882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San Diego residential prices</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sz w:val="24"/>
      <w:u w:val="single"/>
    </w:rPr>
  </w:style>
  <w:style w:type="paragraph" w:styleId="Heading2">
    <w:name w:val="heading 2"/>
    <w:basedOn w:val="Normal"/>
    <w:next w:val="Normal"/>
    <w:qFormat/>
    <w:pPr>
      <w:keepNext w:val="true"/>
      <w:numPr>
        <w:ilvl w:val="1"/>
        <w:numId w:val="1"/>
      </w:numPr>
      <w:outlineLvl w:val="1"/>
    </w:pPr>
    <w:rPr>
      <w:rFonts w:ascii="Garamond" w:hAnsi="Garamond" w:cs="Garamond"/>
      <w:b/>
      <w:i/>
      <w:sz w:val="24"/>
      <w:u w:val="single"/>
    </w:rPr>
  </w:style>
  <w:style w:type="paragraph" w:styleId="Heading3">
    <w:name w:val="heading 3"/>
    <w:basedOn w:val="Normal"/>
    <w:next w:val="Normal"/>
    <w:qFormat/>
    <w:pPr>
      <w:keepNext w:val="true"/>
      <w:numPr>
        <w:ilvl w:val="2"/>
        <w:numId w:val="1"/>
      </w:numPr>
      <w:outlineLvl w:val="2"/>
    </w:pPr>
    <w:rPr>
      <w:rFonts w:ascii="Garamond" w:hAnsi="Garamond" w:cs="Garamond"/>
      <w:sz w:val="24"/>
    </w:rPr>
  </w:style>
  <w:style w:type="paragraph" w:styleId="Heading4">
    <w:name w:val="heading 4"/>
    <w:basedOn w:val="Normal"/>
    <w:next w:val="Normal"/>
    <w:qFormat/>
    <w:pPr>
      <w:keepNext w:val="true"/>
      <w:numPr>
        <w:ilvl w:val="3"/>
        <w:numId w:val="1"/>
      </w:numPr>
      <w:ind w:firstLine="720" w:start="0" w:end="0"/>
      <w:outlineLvl w:val="3"/>
    </w:pPr>
    <w:rPr>
      <w:rFonts w:ascii="Garamond" w:hAnsi="Garamond" w:cs="Garamond"/>
      <w:sz w:val="24"/>
    </w:rPr>
  </w:style>
  <w:style w:type="paragraph" w:styleId="Heading5">
    <w:name w:val="heading 5"/>
    <w:basedOn w:val="Normal"/>
    <w:next w:val="Normal"/>
    <w:qFormat/>
    <w:pPr>
      <w:keepNext w:val="true"/>
      <w:numPr>
        <w:ilvl w:val="4"/>
        <w:numId w:val="1"/>
      </w:numPr>
      <w:spacing w:lineRule="auto" w:line="360"/>
      <w:ind w:hanging="0" w:start="2664" w:end="0"/>
      <w:outlineLvl w:val="4"/>
    </w:pPr>
    <w:rPr>
      <w:rFonts w:ascii="Garamond" w:hAnsi="Garamond" w:cs="Garamond"/>
      <w:sz w:val="24"/>
    </w:rPr>
  </w:style>
  <w:style w:type="paragraph" w:styleId="Heading6">
    <w:name w:val="heading 6"/>
    <w:basedOn w:val="Normal"/>
    <w:next w:val="Normal"/>
    <w:qFormat/>
    <w:pPr>
      <w:keepNext w:val="true"/>
      <w:numPr>
        <w:ilvl w:val="5"/>
        <w:numId w:val="1"/>
      </w:numPr>
      <w:jc w:val="center"/>
      <w:outlineLvl w:val="5"/>
    </w:pPr>
    <w:rPr>
      <w:rFonts w:ascii="Garamond" w:hAnsi="Garamond" w:cs="Garamond"/>
      <w:b/>
      <w:smallCaps/>
      <w:sz w:val="3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MessageHeaderLabel">
    <w:name w:val="Message Header Label"/>
    <w:qFormat/>
    <w:rPr>
      <w:rFonts w:ascii="Arial" w:hAnsi="Arial" w:cs="Arial"/>
      <w:b/>
      <w:spacing w:val="-4"/>
      <w:position w:val="0"/>
      <w:sz w:val="18"/>
      <w:sz w:val="18"/>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rFonts w:ascii="Times New Roman" w:hAnsi="Times New Roman" w:cs="Times New Roman"/>
      <w:sz w:val="24"/>
      <w:szCs w:val="24"/>
    </w:rPr>
  </w:style>
  <w:style w:type="paragraph" w:styleId="MessageHeader">
    <w:name w:val="Message Header"/>
    <w:basedOn w:val="BodyText"/>
    <w:qFormat/>
    <w:pPr>
      <w:keepLines/>
      <w:spacing w:lineRule="atLeast" w:line="415"/>
      <w:ind w:hanging="720" w:start="1560" w:end="-360"/>
      <w:jc w:val="start"/>
    </w:pPr>
    <w:rPr>
      <w:sz w:val="20"/>
    </w:rPr>
  </w:style>
  <w:style w:type="paragraph" w:styleId="MessageHeaderFirst">
    <w:name w:val="Message Header First"/>
    <w:basedOn w:val="MessageHeader"/>
    <w:next w:val="MessageHeader"/>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2000-08-11T11:24:00Z</dcterms:created>
  <dc:creator>Richard D. Tabors</dc:creator>
  <dc:description/>
  <dc:language>en-CA</dc:language>
  <cp:lastModifiedBy>Fred Pickel</cp:lastModifiedBy>
  <cp:lastPrinted>1999-10-08T14:15:00Z</cp:lastPrinted>
  <dcterms:modified xsi:type="dcterms:W3CDTF">2000-08-11T16:10:00Z</dcterms:modified>
  <cp:revision>5</cp:revision>
  <dc:subject/>
  <dc:title>Mr</dc:title>
</cp:coreProperties>
</file>