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b/>
          <w:u w:val="single"/>
        </w:rPr>
        <w:t>Price Reporting Policy</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Unregulated entities such as Platt’s or Reuters provide useful price reporting services that form the pricing basis of physical and cash settled transactions that Enron and many other market participants enter into in markets where Enron may have significant activity.  Enron traders routinely interact with these price reporting services providing them with information about the prices of a variety of transactions.  In this regard, care must be taken to avoid even the appearance that any disclosure or non-disclosure to these entities concerning a transaction to which Enron is a party does not have for its purpose or effect the reporting by Platt’s or Reuters of artificial prices, i.e. prices that do not reflect legitimate forces of supply and demand.  The key concern is that any selective reporting of trades not have the appearance of misleading the market in an attempt to effect the price of transactions that are priced off of the price reporting service’s indices.  Therefore, while all transactions do not have to be reported, there must be legitimate reasons (i.e., separate from attempting to influence price) for Enron not to report.</w:t>
      </w:r>
    </w:p>
    <w:p>
      <w:pPr>
        <w:pStyle w:val="Normal"/>
        <w:jc w:val="both"/>
        <w:rPr>
          <w:rFonts w:ascii="CG Times" w:hAnsi="CG Times" w:cs="CG Times"/>
        </w:rPr>
      </w:pPr>
      <w:r>
        <w:rPr>
          <w:rFonts w:cs="CG Times" w:ascii="CG Times" w:hAnsi="CG Times"/>
        </w:rPr>
      </w:r>
    </w:p>
    <w:p>
      <w:pPr>
        <w:pStyle w:val="Normal"/>
        <w:tabs>
          <w:tab w:val="left" w:pos="720" w:leader="none"/>
          <w:tab w:val="left" w:pos="1440" w:leader="none"/>
        </w:tabs>
        <w:ind w:hanging="1440" w:start="1440" w:end="0"/>
        <w:jc w:val="both"/>
        <w:rPr>
          <w:rFonts w:ascii="CG Times" w:hAnsi="CG Times" w:cs="CG Times"/>
        </w:rPr>
      </w:pPr>
      <w:r>
        <w:rPr>
          <w:rFonts w:cs="CG Times" w:ascii="CG Times" w:hAnsi="CG Times"/>
        </w:rPr>
        <w:tab/>
        <w:t>-</w:t>
        <w:tab/>
        <w:t>All statements to price reporting services must be accurate and truthful in all material respects and must not be knowingly misleading.   Particular care must be taken in reporting trades in markets where Enron has a significant market share.</w:t>
      </w:r>
    </w:p>
    <w:p>
      <w:pPr>
        <w:pStyle w:val="Normal"/>
        <w:jc w:val="both"/>
        <w:rPr>
          <w:rFonts w:ascii="CG Times" w:hAnsi="CG Times" w:cs="CG Times"/>
        </w:rPr>
      </w:pPr>
      <w:r>
        <w:rPr>
          <w:rFonts w:cs="CG Times" w:ascii="CG Times" w:hAnsi="CG Times"/>
        </w:rPr>
      </w:r>
    </w:p>
    <w:p>
      <w:pPr>
        <w:pStyle w:val="Normal"/>
        <w:tabs>
          <w:tab w:val="left" w:pos="720" w:leader="none"/>
          <w:tab w:val="left" w:pos="1440" w:leader="none"/>
        </w:tabs>
        <w:ind w:hanging="1440" w:start="1440" w:end="0"/>
        <w:jc w:val="both"/>
        <w:rPr>
          <w:rFonts w:ascii="CG Times" w:hAnsi="CG Times" w:cs="CG Times"/>
        </w:rPr>
      </w:pPr>
      <w:r>
        <w:rPr>
          <w:rFonts w:cs="CG Times" w:ascii="CG Times" w:hAnsi="CG Times"/>
        </w:rPr>
        <w:tab/>
        <w:t>-</w:t>
        <w:tab/>
        <w:t xml:space="preserve">Except with respect to confidential transactions identified below, a trader, to the extent that he or she interacts with price reporting services, must disclose to the price reporting service upon request or, where appropriate, on his or her own initiative, the identity of counterparties and the price of completed deals.  Other information, including  Enron’s bid/offer pricing and information Enron may have about third-party pricing in transactions in which Enron is not involved must not be disclosed.  </w:t>
      </w:r>
    </w:p>
    <w:p>
      <w:pPr>
        <w:pStyle w:val="Normal"/>
        <w:jc w:val="both"/>
        <w:rPr>
          <w:rFonts w:ascii="CG Times" w:hAnsi="CG Times" w:cs="CG Times"/>
        </w:rPr>
      </w:pPr>
      <w:r>
        <w:rPr>
          <w:rFonts w:cs="CG Times" w:ascii="CG Times" w:hAnsi="CG Times"/>
        </w:rPr>
      </w:r>
    </w:p>
    <w:p>
      <w:pPr>
        <w:pStyle w:val="Normal"/>
        <w:tabs>
          <w:tab w:val="left" w:pos="720" w:leader="none"/>
          <w:tab w:val="left" w:pos="1440" w:leader="none"/>
        </w:tabs>
        <w:ind w:hanging="1440" w:start="1440" w:end="0"/>
        <w:jc w:val="both"/>
        <w:rPr>
          <w:rFonts w:ascii="CG Times" w:hAnsi="CG Times" w:cs="CG Times"/>
        </w:rPr>
      </w:pPr>
      <w:r>
        <w:rPr>
          <w:rFonts w:cs="CG Times" w:ascii="CG Times" w:hAnsi="CG Times"/>
        </w:rPr>
        <w:tab/>
        <w:t>-</w:t>
        <w:tab/>
        <w:t xml:space="preserve">An off-market trade is a trade whose price is off-market because the terms or conditions (e.g. credit) are non-standard.  If reported, the off-market characteristics of the trade must be explained to the price reporting service.   </w:t>
      </w:r>
    </w:p>
    <w:p>
      <w:pPr>
        <w:pStyle w:val="Normal"/>
        <w:tabs>
          <w:tab w:val="left" w:pos="720" w:leader="none"/>
          <w:tab w:val="left" w:pos="1440" w:leader="none"/>
        </w:tabs>
        <w:ind w:hanging="1440" w:start="1440" w:end="0"/>
        <w:jc w:val="both"/>
        <w:rPr>
          <w:rFonts w:ascii="CG Times" w:hAnsi="CG Times" w:cs="CG Times"/>
        </w:rPr>
      </w:pPr>
      <w:r>
        <w:rPr>
          <w:rFonts w:cs="CG Times" w:ascii="CG Times" w:hAnsi="CG Times"/>
        </w:rPr>
      </w:r>
    </w:p>
    <w:p>
      <w:pPr>
        <w:pStyle w:val="Normal"/>
        <w:tabs>
          <w:tab w:val="left" w:pos="720" w:leader="none"/>
          <w:tab w:val="left" w:pos="1440" w:leader="none"/>
        </w:tabs>
        <w:ind w:hanging="1440" w:start="1440" w:end="0"/>
        <w:jc w:val="both"/>
        <w:rPr>
          <w:rFonts w:ascii="CG Times" w:hAnsi="CG Times" w:cs="CG Times"/>
        </w:rPr>
      </w:pPr>
      <w:r>
        <w:rPr>
          <w:rFonts w:cs="CG Times" w:ascii="CG Times" w:hAnsi="CG Times"/>
        </w:rPr>
        <w:tab/>
        <w:t>-</w:t>
        <w:tab/>
        <w:t>Private and confidential (P&amp;C) trades, by their terms, cannot be disclosed to third-parties, including price reporting services:</w:t>
      </w:r>
    </w:p>
    <w:p>
      <w:pPr>
        <w:sectPr>
          <w:headerReference w:type="default" r:id="rId2"/>
          <w:footerReference w:type="default" r:id="rId3"/>
          <w:type w:val="nextPage"/>
          <w:pgSz w:w="12240" w:h="15840"/>
          <w:pgMar w:left="1440" w:right="1440" w:gutter="0" w:header="720" w:top="1915" w:footer="1685" w:bottom="1741"/>
          <w:pgNumType w:fmt="decimal"/>
          <w:formProt w:val="false"/>
          <w:textDirection w:val="lrTb"/>
          <w:docGrid w:type="default" w:linePitch="360" w:charSpace="0"/>
        </w:sectPr>
        <w:pStyle w:val="Normal"/>
        <w:jc w:val="both"/>
        <w:rPr>
          <w:rFonts w:ascii="CG Times" w:hAnsi="CG Times" w:cs="CG Times"/>
        </w:rPr>
      </w:pPr>
      <w:r>
        <w:rPr>
          <w:rFonts w:cs="CG Times" w:ascii="CG Times" w:hAnsi="CG Times"/>
        </w:rPr>
      </w:r>
    </w:p>
    <w:p>
      <w:pPr>
        <w:pStyle w:val="1Paragraph"/>
        <w:tabs>
          <w:tab w:val="left" w:pos="720" w:leader="none"/>
          <w:tab w:val="left" w:pos="1440" w:leader="none"/>
          <w:tab w:val="left" w:pos="2160" w:leader="none"/>
        </w:tabs>
        <w:ind w:hanging="2160" w:start="2160" w:end="0"/>
        <w:jc w:val="both"/>
        <w:rPr>
          <w:rFonts w:ascii="CG Times" w:hAnsi="CG Times" w:cs="CG Times"/>
        </w:rPr>
      </w:pPr>
      <w:r>
        <w:rPr>
          <w:rFonts w:cs="CG Times" w:ascii="CG Times" w:hAnsi="CG Times"/>
        </w:rPr>
        <w:tab/>
        <w:tab/>
        <w:t>1.</w:t>
        <w:tab/>
        <w:t>A trader is permitted, either upon the request of a counterparty or on its own initiative (with counterparty consent), to classify a trade as P&amp;C only:</w:t>
      </w:r>
    </w:p>
    <w:p>
      <w:pPr>
        <w:pStyle w:val="Normal"/>
        <w:jc w:val="both"/>
        <w:rPr>
          <w:rFonts w:ascii="CG Times" w:hAnsi="CG Times" w:cs="CG Times"/>
        </w:rPr>
      </w:pPr>
      <w:r>
        <w:rPr>
          <w:rFonts w:cs="CG Times" w:ascii="CG Times" w:hAnsi="CG Times"/>
        </w:rPr>
        <w:tab/>
        <w:tab/>
      </w:r>
    </w:p>
    <w:p>
      <w:pPr>
        <w:pStyle w:val="Normal"/>
        <w:tabs>
          <w:tab w:val="left" w:pos="720" w:leader="none"/>
          <w:tab w:val="left" w:pos="1440" w:leader="none"/>
          <w:tab w:val="left" w:pos="2160" w:leader="none"/>
          <w:tab w:val="left" w:pos="2880" w:leader="none"/>
        </w:tabs>
        <w:ind w:hanging="2880" w:start="2880" w:end="0"/>
        <w:jc w:val="both"/>
        <w:rPr>
          <w:rFonts w:ascii="CG Times" w:hAnsi="CG Times" w:cs="CG Times"/>
        </w:rPr>
      </w:pPr>
      <w:r>
        <w:rPr>
          <w:rFonts w:cs="CG Times" w:ascii="CG Times" w:hAnsi="CG Times"/>
        </w:rPr>
        <w:tab/>
        <w:tab/>
        <w:tab/>
        <w:t>1)</w:t>
        <w:tab/>
        <w:t xml:space="preserve">where such classification is necessary as a matter of customer/counterparty relations; </w:t>
      </w:r>
    </w:p>
    <w:p>
      <w:pPr>
        <w:pStyle w:val="Normal"/>
        <w:tabs>
          <w:tab w:val="left" w:pos="720" w:leader="none"/>
          <w:tab w:val="left" w:pos="1440" w:leader="none"/>
          <w:tab w:val="left" w:pos="2160" w:leader="none"/>
          <w:tab w:val="left" w:pos="2880" w:leader="none"/>
        </w:tabs>
        <w:ind w:hanging="2880" w:start="2880" w:end="0"/>
        <w:jc w:val="both"/>
        <w:rPr>
          <w:rFonts w:ascii="CG Times" w:hAnsi="CG Times" w:cs="CG Times"/>
        </w:rPr>
      </w:pPr>
      <w:r>
        <w:rPr>
          <w:rFonts w:cs="CG Times" w:ascii="CG Times" w:hAnsi="CG Times"/>
        </w:rPr>
        <w:tab/>
        <w:tab/>
        <w:tab/>
        <w:t>2)</w:t>
        <w:tab/>
        <w:t>where disclosure of the trade might reveal commercially sensitive information regarding Enron’s operations;</w:t>
      </w:r>
    </w:p>
    <w:p>
      <w:pPr>
        <w:pStyle w:val="Normal"/>
        <w:tabs>
          <w:tab w:val="left" w:pos="720" w:leader="none"/>
          <w:tab w:val="left" w:pos="1440" w:leader="none"/>
          <w:tab w:val="left" w:pos="2160" w:leader="none"/>
          <w:tab w:val="left" w:pos="2880" w:leader="none"/>
        </w:tabs>
        <w:ind w:hanging="2880" w:start="2880" w:end="0"/>
        <w:jc w:val="both"/>
        <w:rPr>
          <w:rFonts w:ascii="CG Times" w:hAnsi="CG Times" w:cs="CG Times"/>
        </w:rPr>
      </w:pPr>
      <w:r>
        <w:rPr>
          <w:rFonts w:cs="CG Times" w:ascii="CG Times" w:hAnsi="CG Times"/>
        </w:rPr>
        <w:tab/>
        <w:tab/>
        <w:tab/>
        <w:t>3)</w:t>
        <w:tab/>
        <w:t>where the trade is so significantly off-market that its reporting could be considered misleading; or</w:t>
      </w:r>
    </w:p>
    <w:p>
      <w:pPr>
        <w:pStyle w:val="Normal"/>
        <w:tabs>
          <w:tab w:val="left" w:pos="720" w:leader="none"/>
          <w:tab w:val="left" w:pos="1440" w:leader="none"/>
          <w:tab w:val="left" w:pos="2160" w:leader="none"/>
          <w:tab w:val="left" w:pos="2880" w:leader="none"/>
        </w:tabs>
        <w:ind w:hanging="2880" w:start="2880" w:end="0"/>
        <w:jc w:val="both"/>
        <w:rPr>
          <w:rFonts w:ascii="CG Times" w:hAnsi="CG Times" w:cs="CG Times"/>
        </w:rPr>
      </w:pPr>
      <w:r>
        <w:rPr>
          <w:rFonts w:cs="CG Times" w:ascii="CG Times" w:hAnsi="CG Times"/>
        </w:rPr>
        <w:tab/>
        <w:tab/>
        <w:tab/>
        <w:t>4)</w:t>
        <w:tab/>
        <w:t>in other circumstances only after consultation with [Compliance Officer or Trading Manager].</w:t>
      </w:r>
    </w:p>
    <w:p>
      <w:pPr>
        <w:pStyle w:val="Normal"/>
        <w:jc w:val="both"/>
        <w:rPr>
          <w:rFonts w:ascii="CG Times" w:hAnsi="CG Times" w:cs="CG Times"/>
        </w:rPr>
      </w:pPr>
      <w:r>
        <w:rPr/>
        <w:tab/>
      </w:r>
    </w:p>
    <w:p>
      <w:pPr>
        <w:pStyle w:val="Normal"/>
        <w:ind w:hanging="720" w:start="2160" w:end="0"/>
        <w:jc w:val="both"/>
        <w:rPr>
          <w:rFonts w:ascii="CG Times" w:hAnsi="CG Times" w:cs="CG Times"/>
        </w:rPr>
      </w:pPr>
      <w:r>
        <w:rPr>
          <w:rFonts w:cs="CG Times" w:ascii="CG Times" w:hAnsi="CG Times"/>
        </w:rPr>
        <w:t>2.</w:t>
        <w:tab/>
        <w:t>A trader is not permitted to classify a trade as P&amp;C if it appears that the non-disclosure is undertaken with the intention to mislead the market, e.g., non-disclosure because the trade does not support Enron’s trading position or strategy.   A trader must not agree to a counterparty’s request to classify a trade P&amp;C, unless there is reasons to believe it meets the criteria specified above.</w:t>
      </w:r>
    </w:p>
    <w:p>
      <w:pPr>
        <w:pStyle w:val="Normal"/>
        <w:jc w:val="both"/>
        <w:rPr>
          <w:rFonts w:ascii="CG Times" w:hAnsi="CG Times" w:cs="CG Times"/>
        </w:rPr>
      </w:pPr>
      <w:r>
        <w:rPr>
          <w:rFonts w:cs="CG Times" w:ascii="CG Times" w:hAnsi="CG Times"/>
        </w:rPr>
      </w:r>
    </w:p>
    <w:p>
      <w:pPr>
        <w:pStyle w:val="Normal"/>
        <w:jc w:val="both"/>
        <w:rPr>
          <w:rFonts w:ascii="CG Times" w:hAnsi="CG Times" w:cs="CG Times"/>
          <w:lang w:val="en-CA"/>
        </w:rPr>
      </w:pPr>
      <w:r>
        <w:rPr>
          <w:rFonts w:cs="CG Times" w:ascii="CG Times" w:hAnsi="CG Times"/>
          <w:lang w:val="en-CA"/>
        </w:rPr>
        <mc:AlternateContent>
          <mc:Choice Requires="wps">
            <w:drawing>
              <wp:anchor behindDoc="0" distT="0" distB="0" distL="114935" distR="114935" simplePos="0" locked="0" layoutInCell="1" allowOverlap="1" relativeHeight="3">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p>
    <w:p>
      <w:pPr>
        <w:pStyle w:val="Normal"/>
        <w:rPr>
          <w:rFonts w:ascii="CG Times" w:hAnsi="CG Times" w:cs="CG Times"/>
          <w:lang w:val="en-CA"/>
        </w:rPr>
      </w:pPr>
      <w:r>
        <w:rPr>
          <w:rFonts w:cs="CG Times" w:ascii="CG Times" w:hAnsi="CG Times"/>
          <w:lang w:val="en-CA"/>
        </w:rP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p>
    <w:sectPr>
      <w:headerReference w:type="default" r:id="rId4"/>
      <w:headerReference w:type="first" r:id="rId5"/>
      <w:footerReference w:type="default" r:id="rId6"/>
      <w:footerReference w:type="first" r:id="rId7"/>
      <w:type w:val="nextPage"/>
      <w:pgSz w:w="12240" w:h="15840"/>
      <w:pgMar w:left="2160" w:right="1440" w:gutter="0" w:header="720" w:top="1915"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sz w:val="16"/>
      </w:rPr>
    </w:pPr>
    <w:r>
      <w:rPr>
        <w:sz w:val="16"/>
      </w:rPr>
      <w:t>NY12533: 120235.2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sz w:val="16"/>
      </w:rPr>
    </w:pPr>
    <w:r>
      <w:rPr>
        <w:sz w:val="16"/>
      </w:rPr>
      <w:t>NY12533: 120235.2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CG Times" w:ascii="CG Times" w:hAnsi="CG Times"/>
      </w:rPr>
      <w:t>S&amp;C Draft</w:t>
    </w:r>
  </w:p>
  <w:p>
    <w:pPr>
      <w:pStyle w:val="Header"/>
      <w:rPr>
        <w:rFonts w:ascii="CG Times" w:hAnsi="CG Times" w:cs="CG Times"/>
      </w:rPr>
    </w:pPr>
    <w:r>
      <w:rPr>
        <w:rFonts w:cs="CG Times" w:ascii="CG Times" w:hAnsi="CG Times"/>
      </w:rPr>
      <w:tab/>
      <w:tab/>
      <w:t>Attorney-Client</w:t>
    </w:r>
  </w:p>
  <w:p>
    <w:pPr>
      <w:pStyle w:val="Header"/>
      <w:rPr>
        <w:rFonts w:ascii="CG Times" w:hAnsi="CG Times" w:cs="CG Times"/>
      </w:rPr>
    </w:pPr>
    <w:r>
      <w:rPr>
        <w:rFonts w:cs="CG Times" w:ascii="CG Times" w:hAnsi="CG Times"/>
      </w:rPr>
      <w:tab/>
      <w:tab/>
      <w:t>Privilege &amp;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CG Times" w:ascii="CG Times" w:hAnsi="CG Times"/>
      </w:rPr>
      <w:t>S&amp;C Draft</w:t>
    </w:r>
  </w:p>
  <w:p>
    <w:pPr>
      <w:pStyle w:val="Header"/>
      <w:rPr>
        <w:rFonts w:ascii="CG Times" w:hAnsi="CG Times" w:cs="CG Times"/>
      </w:rPr>
    </w:pPr>
    <w:r>
      <w:rPr>
        <w:rFonts w:cs="CG Times" w:ascii="CG Times" w:hAnsi="CG Times"/>
      </w:rPr>
      <w:tab/>
      <w:tab/>
      <w:t>Attorney-Client</w:t>
    </w:r>
  </w:p>
  <w:p>
    <w:pPr>
      <w:pStyle w:val="Header"/>
      <w:rPr>
        <w:rFonts w:ascii="CG Times" w:hAnsi="CG Times" w:cs="CG Times"/>
      </w:rPr>
    </w:pPr>
    <w:r>
      <w:rPr>
        <w:rFonts w:cs="CG Times" w:ascii="CG Times" w:hAnsi="CG Times"/>
      </w:rPr>
      <w:tab/>
      <w:tab/>
      <w:t>Privilege &amp; 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paragraph" w:styleId="1Paragraph">
    <w:name w:val="1Paragraph"/>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2000-05-25T18:19:00Z</dcterms:created>
  <dc:creator>For Help Call PC Support, x 4277</dc:creator>
  <dc:description/>
  <dc:language>en-CA</dc:language>
  <cp:lastModifiedBy>For Help Call PC Support, x 4277</cp:lastModifiedBy>
  <cp:lastPrinted>2000-05-25T16:49:00Z</cp:lastPrinted>
  <dcterms:modified xsi:type="dcterms:W3CDTF">2000-05-25T18:19:00Z</dcterms:modified>
  <cp:revision>2</cp:revision>
  <dc:subject/>
  <dc:title>test</dc:title>
</cp:coreProperties>
</file>