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_rels/footer2.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media/image1.wmf" ContentType="image/x-wmf"/>
  <Override PartName="/word/media/image2.wmf" ContentType="image/x-wmf"/>
  <Override PartName="/word/media/image3.wmf" ContentType="image/x-wmf"/>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SBHidden"/>
        <w:rPr/>
      </w:pPr>
      <w:r>
        <w:rPr/>
        <w:t>SALOMON SMITH BARNEY</w:t>
        <w:tab/>
        <w:t>Industry Note</w:t>
      </w:r>
    </w:p>
    <w:tbl>
      <w:tblPr>
        <w:tblW w:w="9864" w:type="dxa"/>
        <w:jc w:val="start"/>
        <w:tblInd w:w="-2007" w:type="dxa"/>
        <w:tblLayout w:type="fixed"/>
        <w:tblCellMar>
          <w:top w:w="0" w:type="dxa"/>
          <w:start w:w="0" w:type="dxa"/>
          <w:bottom w:w="0" w:type="dxa"/>
          <w:end w:w="0" w:type="dxa"/>
        </w:tblCellMar>
      </w:tblPr>
      <w:tblGrid>
        <w:gridCol w:w="2907"/>
        <w:gridCol w:w="2"/>
        <w:gridCol w:w="6955"/>
      </w:tblGrid>
      <w:tr>
        <w:trPr>
          <w:trHeight w:val="369" w:hRule="atLeast"/>
        </w:trPr>
        <w:tc>
          <w:tcPr>
            <w:tcW w:w="9864" w:type="dxa"/>
            <w:gridSpan w:val="3"/>
            <w:tcBorders/>
          </w:tcPr>
          <w:p>
            <w:pPr>
              <w:pStyle w:val="SSBReleaseDate"/>
              <w:rPr>
                <w:lang w:val="en-CA"/>
              </w:rPr>
            </w:pPr>
            <w:r>
              <w:fldChar w:fldCharType="begin">
                <w:ffData>
                  <w:name w:val="TRC_INDUSTRY"/>
                  <w:enabled/>
                  <w:calcOnExit w:val="0"/>
                  <w:textInput/>
                </w:ffData>
              </w:fldChar>
            </w:r>
            <w:r>
              <w:rPr>
                <w:lang w:val="en-CA"/>
              </w:rPr>
              <w:instrText xml:space="preserve"> FORMTEXT </w:instrText>
            </w:r>
            <w:r>
              <w:rPr>
                <w:lang w:val="en-CA"/>
              </w:rPr>
            </w:r>
            <w:r>
              <w:rPr>
                <w:lang w:val="en-CA"/>
              </w:rPr>
              <w:fldChar w:fldCharType="separate"/>
            </w:r>
            <w:r>
              <w:rPr>
                <w:lang w:val="en-CA"/>
              </w:rPr>
              <w:t>Power &amp; Natural Gas</w:t>
            </w:r>
            <w:r/>
            <w:r>
              <w:rPr>
                <w:lang w:val="en-CA"/>
              </w:rPr>
              <w:fldChar w:fldCharType="end"/>
            </w:r>
            <w:r>
              <w:rPr>
                <w:lang w:val="en-CA"/>
              </w:rPr>
            </w:r>
          </w:p>
          <w:p>
            <w:pPr>
              <w:pStyle w:val="SSBHeadline"/>
              <w:rPr>
                <w:lang w:val="en-CA"/>
              </w:rPr>
            </w:pPr>
            <w:r>
              <w:fldChar w:fldCharType="begin">
                <w:ffData>
                  <w:name w:val="TRC_HEADLINE"/>
                  <w:enabled/>
                  <w:calcOnExit w:val="0"/>
                  <w:textInput/>
                </w:ffData>
              </w:fldChar>
            </w:r>
            <w:r>
              <w:rPr>
                <w:lang w:val="en-CA"/>
              </w:rPr>
              <w:instrText xml:space="preserve"> FORMTEXT </w:instrText>
            </w:r>
            <w:r>
              <w:rPr>
                <w:lang w:val="en-CA"/>
              </w:rPr>
            </w:r>
            <w:r>
              <w:rPr>
                <w:lang w:val="en-CA"/>
              </w:rPr>
              <w:fldChar w:fldCharType="separate"/>
            </w:r>
            <w:r>
              <w:rPr>
                <w:lang w:val="en-CA"/>
              </w:rPr>
              <w:t>FERC ACTS TO IMPOSE TEMPORARY PRICE CAPS IN WEST</w:t>
            </w:r>
            <w:r/>
            <w:r>
              <w:rPr>
                <w:lang w:val="en-CA"/>
              </w:rPr>
              <w:fldChar w:fldCharType="end"/>
            </w:r>
            <w:r>
              <w:rPr>
                <w:lang w:val="en-CA"/>
              </w:rPr>
            </w:r>
          </w:p>
        </w:tc>
      </w:tr>
      <w:tr>
        <w:trPr>
          <w:trHeight w:val="120" w:hRule="exact"/>
        </w:trPr>
        <w:tc>
          <w:tcPr>
            <w:tcW w:w="2909" w:type="dxa"/>
            <w:gridSpan w:val="2"/>
            <w:tcBorders/>
          </w:tcPr>
          <w:p>
            <w:pPr>
              <w:pStyle w:val="Normal"/>
              <w:snapToGrid w:val="false"/>
              <w:rPr/>
            </w:pPr>
            <w:r>
              <w:rPr/>
            </w:r>
          </w:p>
        </w:tc>
        <w:tc>
          <w:tcPr>
            <w:tcW w:w="6955" w:type="dxa"/>
            <w:tcBorders/>
          </w:tcPr>
          <w:p>
            <w:pPr>
              <w:pStyle w:val="Normal"/>
              <w:snapToGrid w:val="false"/>
              <w:rPr/>
            </w:pPr>
            <w:r>
              <w:rPr/>
            </w:r>
          </w:p>
        </w:tc>
      </w:tr>
      <w:tr>
        <w:trPr>
          <w:trHeight w:val="120" w:hRule="exact"/>
        </w:trPr>
        <w:tc>
          <w:tcPr>
            <w:tcW w:w="2909" w:type="dxa"/>
            <w:gridSpan w:val="2"/>
            <w:tcBorders>
              <w:top w:val="single" w:sz="12" w:space="0" w:color="808080"/>
            </w:tcBorders>
          </w:tcPr>
          <w:p>
            <w:pPr>
              <w:pStyle w:val="Normal"/>
              <w:snapToGrid w:val="false"/>
              <w:rPr/>
            </w:pPr>
            <w:r>
              <w:rPr/>
            </w:r>
          </w:p>
        </w:tc>
        <w:tc>
          <w:tcPr>
            <w:tcW w:w="6955" w:type="dxa"/>
            <w:tcBorders>
              <w:top w:val="single" w:sz="12" w:space="0" w:color="808080"/>
            </w:tcBorders>
          </w:tcPr>
          <w:p>
            <w:pPr>
              <w:pStyle w:val="Normal"/>
              <w:snapToGrid w:val="false"/>
              <w:rPr/>
            </w:pPr>
            <w:r>
              <w:rPr/>
            </w:r>
          </w:p>
        </w:tc>
      </w:tr>
      <w:tr>
        <w:trPr>
          <w:trHeight w:val="3840" w:hRule="exact"/>
        </w:trPr>
        <w:tc>
          <w:tcPr>
            <w:tcW w:w="2907" w:type="dxa"/>
            <w:tcBorders/>
          </w:tcPr>
          <w:p>
            <w:pPr>
              <w:pStyle w:val="SSBReleaseDate"/>
              <w:rPr/>
            </w:pPr>
            <w:r>
              <w:fldChar w:fldCharType="begin">
                <w:ffData>
                  <w:name w:val="TRC_RELEASEDATE"/>
                  <w:enabled/>
                  <w:calcOnExit w:val="0"/>
                  <w:textInput/>
                </w:ffData>
              </w:fldChar>
            </w:r>
            <w:r>
              <w:rPr/>
              <w:instrText xml:space="preserve"> FORMTEXT </w:instrText>
            </w:r>
            <w:r>
              <w:rPr/>
            </w:r>
            <w:r>
              <w:rPr/>
              <w:fldChar w:fldCharType="separate"/>
            </w:r>
            <w:r>
              <w:rPr/>
              <w:t>April 26, 2001</w:t>
            </w:r>
            <w:r/>
            <w:r>
              <w:rPr/>
              <w:fldChar w:fldCharType="end"/>
            </w:r>
            <w:r>
              <w:rPr/>
            </w:r>
          </w:p>
          <w:p>
            <w:pPr>
              <w:pStyle w:val="SSBBlackLine"/>
              <w:ind w:end="1890"/>
              <w:rPr/>
            </w:pPr>
            <w:r>
              <w:rPr/>
            </w:r>
          </w:p>
          <w:p>
            <w:pPr>
              <w:pStyle w:val="SSBAnalystName"/>
              <w:rPr>
                <w:b w:val="false"/>
              </w:rPr>
            </w:pPr>
            <w:r>
              <w:fldChar w:fldCharType="begin">
                <w:ffData>
                  <w:name w:val="TRC_ANALYSTNAME1"/>
                  <w:enabled/>
                  <w:calcOnExit w:val="0"/>
                  <w:textInput/>
                </w:ffData>
              </w:fldChar>
            </w:r>
            <w:r>
              <w:rPr/>
              <w:instrText xml:space="preserve"> FORMTEXT </w:instrText>
            </w:r>
            <w:r>
              <w:rPr/>
            </w:r>
            <w:r>
              <w:rPr/>
              <w:fldChar w:fldCharType="separate"/>
            </w:r>
            <w:r>
              <w:rPr/>
              <w:t>Raymond Niles</w:t>
            </w:r>
            <w:r/>
            <w:r>
              <w:rPr/>
              <w:fldChar w:fldCharType="end"/>
            </w:r>
            <w:r>
              <w:rPr/>
            </w:r>
          </w:p>
          <w:p>
            <w:pPr>
              <w:pStyle w:val="SSBAnalystPhone"/>
              <w:rPr>
                <w:lang w:val="en-CA"/>
              </w:rPr>
            </w:pPr>
            <w:r>
              <w:fldChar w:fldCharType="begin">
                <w:ffData>
                  <w:name w:val="TRC_ANALYSTPHONE1"/>
                  <w:enabled/>
                  <w:calcOnExit w:val="0"/>
                  <w:textInput/>
                </w:ffData>
              </w:fldChar>
            </w:r>
            <w:r>
              <w:rPr>
                <w:lang w:val="en-CA"/>
              </w:rPr>
              <w:instrText xml:space="preserve"> FORMTEXT </w:instrText>
            </w:r>
            <w:r>
              <w:rPr>
                <w:lang w:val="en-CA"/>
              </w:rPr>
            </w:r>
            <w:r>
              <w:rPr>
                <w:lang w:val="en-CA"/>
              </w:rPr>
              <w:fldChar w:fldCharType="separate"/>
            </w:r>
            <w:r>
              <w:rPr>
                <w:lang w:val="en-CA"/>
              </w:rPr>
              <w:t>212-816-2807</w:t>
            </w:r>
            <w:r/>
            <w:r>
              <w:rPr>
                <w:lang w:val="en-CA"/>
              </w:rPr>
              <w:fldChar w:fldCharType="end"/>
            </w:r>
            <w:r>
              <w:rPr>
                <w:lang w:val="en-CA"/>
              </w:rPr>
            </w:r>
          </w:p>
          <w:p>
            <w:pPr>
              <w:pStyle w:val="SSBAnalystEmail"/>
              <w:rPr>
                <w:lang w:val="en-CA"/>
              </w:rPr>
            </w:pPr>
            <w:r>
              <w:fldChar w:fldCharType="begin">
                <w:ffData>
                  <w:name w:val="TRC_ANALYSTEMAIL1"/>
                  <w:enabled/>
                  <w:calcOnExit w:val="0"/>
                  <w:textInput/>
                </w:ffData>
              </w:fldChar>
            </w:r>
            <w:r>
              <w:rPr>
                <w:lang w:val="en-CA"/>
              </w:rPr>
              <w:instrText xml:space="preserve"> FORMTEXT </w:instrText>
            </w:r>
            <w:r>
              <w:rPr>
                <w:lang w:val="en-CA"/>
              </w:rPr>
            </w:r>
            <w:r>
              <w:rPr>
                <w:lang w:val="en-CA"/>
              </w:rPr>
              <w:fldChar w:fldCharType="separate"/>
            </w:r>
            <w:r>
              <w:rPr>
                <w:lang w:val="en-CA"/>
              </w:rPr>
              <w:t>ray.niles@ssmb.com</w:t>
            </w:r>
            <w:r/>
            <w:r>
              <w:rPr>
                <w:lang w:val="en-CA"/>
              </w:rPr>
              <w:fldChar w:fldCharType="end"/>
            </w:r>
            <w:r>
              <w:rPr>
                <w:lang w:val="en-CA"/>
              </w:rPr>
            </w:r>
          </w:p>
          <w:p>
            <w:pPr>
              <w:pStyle w:val="SSBAnalystName"/>
              <w:rPr>
                <w:b w:val="false"/>
              </w:rPr>
            </w:pPr>
            <w:r>
              <w:fldChar w:fldCharType="begin">
                <w:ffData>
                  <w:name w:val="TRC_ANALYSTNAME2"/>
                  <w:enabled/>
                  <w:calcOnExit w:val="0"/>
                  <w:textInput/>
                </w:ffData>
              </w:fldChar>
            </w:r>
            <w:r>
              <w:rPr>
                <w:b w:val="false"/>
              </w:rPr>
              <w:instrText xml:space="preserve"> FORMTEXT </w:instrText>
            </w:r>
            <w:r>
              <w:rPr>
                <w:b w:val="false"/>
              </w:rPr>
            </w:r>
            <w:r>
              <w:rPr>
                <w:b w:val="false"/>
              </w:rPr>
              <w:fldChar w:fldCharType="separate"/>
            </w:r>
            <w:r>
              <w:rPr>
                <w:b w:val="false"/>
              </w:rPr>
              <w:t>     </w:t>
            </w:r>
            <w:r/>
            <w:r>
              <w:rPr>
                <w:b w:val="false"/>
              </w:rPr>
              <w:fldChar w:fldCharType="end"/>
            </w:r>
            <w:r>
              <w:rPr>
                <w:b w:val="false"/>
              </w:rPr>
            </w:r>
          </w:p>
          <w:p>
            <w:pPr>
              <w:pStyle w:val="SSBAnalystPhone"/>
              <w:rPr>
                <w:lang w:val="en-CA"/>
              </w:rPr>
            </w:pPr>
            <w:r>
              <w:fldChar w:fldCharType="begin">
                <w:ffData>
                  <w:name w:val="TRC_ANALYSTPHONE2"/>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SSBAnalystEmail"/>
              <w:rPr>
                <w:vanish/>
                <w:lang w:val="en-CA"/>
              </w:rPr>
            </w:pPr>
            <w:r>
              <w:fldChar w:fldCharType="begin">
                <w:ffData>
                  <w:name w:val="TRC_ANALYSTEMAIL2"/>
                  <w:enabled/>
                  <w:calcOnExit w:val="0"/>
                  <w:textInput/>
                </w:ffData>
              </w:fldChar>
            </w:r>
            <w:r>
              <w:rPr>
                <w:vanish/>
                <w:lang w:val="en-CA"/>
              </w:rPr>
              <w:instrText xml:space="preserve"> FORMTEXT </w:instrText>
            </w:r>
            <w:r>
              <w:rPr>
                <w:vanish/>
                <w:lang w:val="en-CA"/>
              </w:rPr>
            </w:r>
            <w:r>
              <w:rPr>
                <w:vanish/>
                <w:lang w:val="en-CA"/>
              </w:rPr>
              <w:fldChar w:fldCharType="separate"/>
            </w:r>
            <w:r>
              <w:rPr>
                <w:vanish/>
                <w:lang w:val="en-CA"/>
              </w:rPr>
              <w:t>     </w:t>
            </w:r>
            <w:r/>
            <w:r>
              <w:rPr>
                <w:vanish/>
                <w:lang w:val="en-CA"/>
              </w:rPr>
              <w:fldChar w:fldCharType="end"/>
            </w:r>
            <w:r>
              <w:rPr>
                <w:vanish/>
                <w:lang w:val="en-CA"/>
              </w:rPr>
            </w:r>
          </w:p>
          <w:p>
            <w:pPr>
              <w:pStyle w:val="SSBAnalystName"/>
              <w:rPr>
                <w:b w:val="false"/>
              </w:rPr>
            </w:pPr>
            <w:r>
              <w:fldChar w:fldCharType="begin">
                <w:ffData>
                  <w:name w:val="TRC_ANALYSTNAME3"/>
                  <w:enabled/>
                  <w:calcOnExit w:val="0"/>
                  <w:textInput/>
                </w:ffData>
              </w:fldChar>
            </w:r>
            <w:r>
              <w:rPr>
                <w:b w:val="false"/>
              </w:rPr>
              <w:instrText xml:space="preserve"> FORMTEXT </w:instrText>
            </w:r>
            <w:r>
              <w:rPr>
                <w:b w:val="false"/>
              </w:rPr>
            </w:r>
            <w:r>
              <w:rPr>
                <w:b w:val="false"/>
              </w:rPr>
              <w:fldChar w:fldCharType="separate"/>
            </w:r>
            <w:r>
              <w:rPr>
                <w:b w:val="false"/>
              </w:rPr>
              <w:t>     </w:t>
            </w:r>
            <w:r/>
            <w:r>
              <w:rPr>
                <w:b w:val="false"/>
              </w:rPr>
              <w:fldChar w:fldCharType="end"/>
            </w:r>
            <w:r>
              <w:rPr>
                <w:b w:val="false"/>
              </w:rPr>
            </w:r>
          </w:p>
          <w:p>
            <w:pPr>
              <w:pStyle w:val="SSBAnalystPhone"/>
              <w:rPr>
                <w:lang w:val="en-CA"/>
              </w:rPr>
            </w:pPr>
            <w:r>
              <w:fldChar w:fldCharType="begin">
                <w:ffData>
                  <w:name w:val="TRC_ANALYSTPHONE3"/>
                  <w:enabled/>
                  <w:calcOnExit w:val="0"/>
                  <w:textInput/>
                </w:ffData>
              </w:fldChar>
            </w:r>
            <w:r>
              <w:rPr>
                <w:lang w:val="en-CA"/>
              </w:rPr>
              <w:instrText xml:space="preserve"> FORMTEXT </w:instrText>
            </w:r>
            <w:r>
              <w:rPr>
                <w:lang w:val="en-CA"/>
              </w:rPr>
            </w:r>
            <w:r>
              <w:rPr>
                <w:lang w:val="en-CA"/>
              </w:rPr>
              <w:fldChar w:fldCharType="separate"/>
            </w:r>
            <w:r>
              <w:rPr>
                <w:lang w:val="en-CA"/>
              </w:rPr>
              <w:t>     </w:t>
            </w:r>
            <w:r/>
            <w:r>
              <w:rPr>
                <w:lang w:val="en-CA"/>
              </w:rPr>
              <w:fldChar w:fldCharType="end"/>
            </w:r>
            <w:r>
              <w:rPr>
                <w:lang w:val="en-CA"/>
              </w:rPr>
            </w:r>
          </w:p>
          <w:p>
            <w:pPr>
              <w:pStyle w:val="SSBAnalystEmail"/>
              <w:rPr>
                <w:vanish/>
                <w:lang w:val="en-CA"/>
              </w:rPr>
            </w:pPr>
            <w:r>
              <w:fldChar w:fldCharType="begin">
                <w:ffData>
                  <w:name w:val="TRC_ANALYSTEMAIL3"/>
                  <w:enabled/>
                  <w:calcOnExit w:val="0"/>
                  <w:textInput/>
                </w:ffData>
              </w:fldChar>
            </w:r>
            <w:r>
              <w:rPr>
                <w:vanish/>
                <w:lang w:val="en-CA"/>
              </w:rPr>
              <w:instrText xml:space="preserve"> FORMTEXT </w:instrText>
            </w:r>
            <w:r>
              <w:rPr>
                <w:vanish/>
                <w:lang w:val="en-CA"/>
              </w:rPr>
            </w:r>
            <w:r>
              <w:rPr>
                <w:vanish/>
                <w:lang w:val="en-CA"/>
              </w:rPr>
              <w:fldChar w:fldCharType="separate"/>
            </w:r>
            <w:r>
              <w:rPr>
                <w:vanish/>
                <w:lang w:val="en-CA"/>
              </w:rPr>
              <w:t>     </w:t>
            </w:r>
            <w:r/>
            <w:r>
              <w:rPr>
                <w:vanish/>
                <w:lang w:val="en-CA"/>
              </w:rPr>
              <w:fldChar w:fldCharType="end"/>
            </w:r>
            <w:r>
              <w:rPr>
                <w:vanish/>
                <w:lang w:val="en-CA"/>
              </w:rPr>
            </w:r>
          </w:p>
        </w:tc>
        <w:tc>
          <w:tcPr>
            <w:tcW w:w="6957" w:type="dxa"/>
            <w:gridSpan w:val="2"/>
            <w:tcBorders/>
          </w:tcPr>
          <w:p>
            <w:pPr>
              <w:pStyle w:val="SSBSummaryHeading"/>
              <w:rPr/>
            </w:pPr>
            <w:r>
              <w:rPr/>
              <w:t>SUMMARY</w:t>
            </w:r>
          </w:p>
          <w:p>
            <w:pPr>
              <w:pStyle w:val="SSBSummary"/>
              <w:numPr>
                <w:ilvl w:val="0"/>
                <w:numId w:val="1"/>
              </w:numPr>
              <w:ind w:hanging="0" w:start="0"/>
              <w:rPr>
                <w:lang w:val="en-CA"/>
              </w:rPr>
            </w:pPr>
            <w:r>
              <w:fldChar w:fldCharType="begin">
                <w:ffData>
                  <w:name w:val="Summary"/>
                  <w:enabled/>
                  <w:calcOnExit w:val="0"/>
                  <w:textInput/>
                </w:ffData>
              </w:fldChar>
            </w:r>
            <w:r>
              <w:rPr>
                <w:lang w:val="en-CA"/>
              </w:rPr>
              <w:instrText xml:space="preserve"> FORMTEXT </w:instrText>
            </w:r>
            <w:r>
              <w:rPr>
                <w:lang w:val="en-CA"/>
              </w:rPr>
            </w:r>
            <w:r>
              <w:rPr>
                <w:lang w:val="en-CA"/>
              </w:rPr>
              <w:fldChar w:fldCharType="separate"/>
            </w:r>
            <w:r>
              <w:t>QUICK COMMENTARY; ELABORATION PLANNED IN A LATER NOTE</w:t>
            </w:r>
            <w:r>
              <w:rPr>
                <w:lang w:val="en-CA"/>
              </w:rPr>
            </w:r>
          </w:p>
          <w:p>
            <w:pPr>
              <w:pStyle w:val="SSBSummary"/>
              <w:numPr>
                <w:ilvl w:val="0"/>
                <w:numId w:val="1"/>
              </w:numPr>
              <w:ind w:hanging="0" w:start="0"/>
              <w:rPr>
                <w:lang w:val="en-CA"/>
              </w:rPr>
            </w:pPr>
            <w:r>
              <w:rPr>
                <w:lang w:val="en-CA"/>
              </w:rPr>
              <w:t>Late last night the Federal Energy Regulatory Commission ("FERC") acted to impose "temporary" wholesale power price caps in the western United States.</w:t>
            </w:r>
          </w:p>
          <w:p>
            <w:pPr>
              <w:pStyle w:val="SSBSummary"/>
              <w:numPr>
                <w:ilvl w:val="0"/>
                <w:numId w:val="1"/>
              </w:numPr>
              <w:ind w:hanging="0" w:start="0"/>
              <w:rPr>
                <w:lang w:val="en-CA"/>
              </w:rPr>
            </w:pPr>
            <w:r>
              <w:rPr>
                <w:lang w:val="en-CA"/>
              </w:rPr>
              <w:t>The cap affects the "real-time" market, which we estimate is only 5% of the total wholesale market; it is set to expire in one year from May 1</w:t>
            </w:r>
          </w:p>
          <w:p>
            <w:pPr>
              <w:pStyle w:val="SSBSummary"/>
              <w:numPr>
                <w:ilvl w:val="0"/>
                <w:numId w:val="1"/>
              </w:numPr>
              <w:ind w:hanging="0" w:start="0"/>
              <w:rPr>
                <w:lang w:val="en-CA"/>
              </w:rPr>
            </w:pPr>
            <w:r>
              <w:rPr>
                <w:lang w:val="en-CA"/>
              </w:rPr>
              <w:t>This is a near-term negative for Power Producers and Energy Merchants, a dramatic example of "headline risk". The political risk of re-regulation has stepped up, in our view, reducing the multiple investors will pay for earnings</w:t>
            </w:r>
          </w:p>
          <w:p>
            <w:pPr>
              <w:pStyle w:val="SSBSummary"/>
              <w:numPr>
                <w:ilvl w:val="0"/>
                <w:numId w:val="1"/>
              </w:numPr>
              <w:spacing w:before="0" w:after="60"/>
              <w:ind w:hanging="0" w:start="0"/>
              <w:rPr/>
            </w:pPr>
            <w:r>
              <w:rPr>
                <w:lang w:val="en-CA"/>
              </w:rPr>
              <w:t>In terms of earnings, ironically, the effect may be somewhat positive, albeit small (only 5% of market is affected). Caps are likely to increase volatility, benefitting Energy Merchants, and sustain high power prices for a longer period of time, benefitting Power Producers, by reducing the incentive to build new plants.</w:t>
            </w:r>
            <w:r/>
            <w:r>
              <w:rPr>
                <w:lang w:val="en-CA"/>
              </w:rPr>
              <w:fldChar w:fldCharType="end"/>
            </w:r>
            <w:r>
              <w:rPr>
                <w:lang w:val="en-CA"/>
              </w:rPr>
            </w:r>
          </w:p>
        </w:tc>
      </w:tr>
    </w:tbl>
    <w:p>
      <w:pPr>
        <w:sectPr>
          <w:headerReference w:type="default" r:id="rId2"/>
          <w:headerReference w:type="first" r:id="rId3"/>
          <w:footerReference w:type="default" r:id="rId4"/>
          <w:footerReference w:type="first" r:id="rId5"/>
          <w:type w:val="continuous"/>
          <w:pgSz w:w="12240" w:h="15840"/>
          <w:pgMar w:left="3096" w:right="1310" w:gutter="0" w:header="504" w:top="1008" w:footer="576" w:bottom="965"/>
          <w:formProt w:val="true"/>
          <w:titlePg/>
          <w:textDirection w:val="lrTb"/>
          <w:docGrid w:type="default" w:linePitch="360" w:charSpace="0"/>
        </w:sectPr>
      </w:pPr>
    </w:p>
    <w:p>
      <w:pPr>
        <w:pStyle w:val="SSBBodyHeading"/>
        <w:rPr/>
      </w:pPr>
      <w:bookmarkStart w:id="0" w:name="SSB_Data"/>
      <w:bookmarkEnd w:id="0"/>
      <w:r>
        <w:rPr/>
        <w:t>OPINION</w:t>
      </w:r>
    </w:p>
    <w:p>
      <w:pPr>
        <w:pStyle w:val="SSBBodyText"/>
        <w:rPr>
          <w:b/>
        </w:rPr>
      </w:pPr>
      <w:r>
        <w:rPr>
          <w:b/>
        </w:rPr>
        <w:t>Companies affected by the FERC action</w:t>
      </w:r>
    </w:p>
    <w:tbl>
      <w:tblPr>
        <w:tblW w:w="8770" w:type="dxa"/>
        <w:jc w:val="start"/>
        <w:tblInd w:w="0" w:type="dxa"/>
        <w:tblLayout w:type="fixed"/>
        <w:tblCellMar>
          <w:top w:w="0" w:type="dxa"/>
          <w:start w:w="108" w:type="dxa"/>
          <w:bottom w:w="0" w:type="dxa"/>
          <w:end w:w="108" w:type="dxa"/>
        </w:tblCellMar>
      </w:tblPr>
      <w:tblGrid>
        <w:gridCol w:w="1638"/>
        <w:gridCol w:w="1096"/>
        <w:gridCol w:w="1006"/>
        <w:gridCol w:w="1006"/>
        <w:gridCol w:w="1006"/>
        <w:gridCol w:w="1006"/>
        <w:gridCol w:w="1006"/>
        <w:gridCol w:w="1006"/>
      </w:tblGrid>
      <w:tr>
        <w:trPr/>
        <w:tc>
          <w:tcPr>
            <w:tcW w:w="1638"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rPr>
            </w:pPr>
            <w:r>
              <w:rPr>
                <w:b/>
              </w:rPr>
              <w:t>ENERGY MERCHANTS</w:t>
            </w:r>
          </w:p>
        </w:tc>
        <w:tc>
          <w:tcPr>
            <w:tcW w:w="109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Ticker</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Price Target</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EPS Est. 2001</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EPS Est. 2002</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P/E 2002</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L/T Growth</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2002 PEG</w:t>
            </w:r>
          </w:p>
        </w:tc>
      </w:tr>
      <w:tr>
        <w:trPr/>
        <w:tc>
          <w:tcPr>
            <w:tcW w:w="1638"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Enron#</w:t>
            </w:r>
          </w:p>
        </w:tc>
        <w:tc>
          <w:tcPr>
            <w:tcW w:w="109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ENE-$62</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$100</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$1.80</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$2.05</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30.2x</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20%</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1.5x</w:t>
            </w:r>
          </w:p>
        </w:tc>
      </w:tr>
      <w:tr>
        <w:trPr/>
        <w:tc>
          <w:tcPr>
            <w:tcW w:w="1638"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El Paso</w:t>
            </w:r>
          </w:p>
        </w:tc>
        <w:tc>
          <w:tcPr>
            <w:tcW w:w="109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EPG-$69</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$85</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$3.20</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$3.70</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18.7</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15%</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1.2</w:t>
            </w:r>
          </w:p>
        </w:tc>
      </w:tr>
      <w:tr>
        <w:trPr/>
        <w:tc>
          <w:tcPr>
            <w:tcW w:w="1638"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Dynegy#</w:t>
            </w:r>
          </w:p>
        </w:tc>
        <w:tc>
          <w:tcPr>
            <w:tcW w:w="109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DYN-$56</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$70</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$2.00</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$2.40</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23.5</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20%</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1.2</w:t>
            </w:r>
          </w:p>
        </w:tc>
      </w:tr>
      <w:tr>
        <w:trPr/>
        <w:tc>
          <w:tcPr>
            <w:tcW w:w="1638"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Williams#</w:t>
            </w:r>
          </w:p>
        </w:tc>
        <w:tc>
          <w:tcPr>
            <w:tcW w:w="109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WMB-$54</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$54</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$2.00</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$2.40</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16.6</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19%</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0.9</w:t>
            </w:r>
          </w:p>
        </w:tc>
      </w:tr>
      <w:tr>
        <w:trPr/>
        <w:tc>
          <w:tcPr>
            <w:tcW w:w="1638"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Duke Energy#</w:t>
            </w:r>
          </w:p>
        </w:tc>
        <w:tc>
          <w:tcPr>
            <w:tcW w:w="109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DUK-$46</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$60</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$2.70</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$3.10</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14.8</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17%</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0.9</w:t>
            </w:r>
          </w:p>
        </w:tc>
      </w:tr>
      <w:tr>
        <w:trPr/>
        <w:tc>
          <w:tcPr>
            <w:tcW w:w="1638"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pPr>
            <w:r>
              <w:rPr/>
            </w:r>
          </w:p>
        </w:tc>
        <w:tc>
          <w:tcPr>
            <w:tcW w:w="1096"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pPr>
            <w:r>
              <w:rPr/>
            </w:r>
          </w:p>
        </w:tc>
        <w:tc>
          <w:tcPr>
            <w:tcW w:w="1006"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pPr>
            <w:r>
              <w:rPr/>
            </w:r>
          </w:p>
        </w:tc>
        <w:tc>
          <w:tcPr>
            <w:tcW w:w="1006"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pPr>
            <w:r>
              <w:rPr/>
            </w:r>
          </w:p>
        </w:tc>
        <w:tc>
          <w:tcPr>
            <w:tcW w:w="1006"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pPr>
            <w:r>
              <w:rPr/>
            </w:r>
          </w:p>
        </w:tc>
        <w:tc>
          <w:tcPr>
            <w:tcW w:w="1006"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pPr>
            <w:r>
              <w:rPr/>
            </w:r>
          </w:p>
        </w:tc>
        <w:tc>
          <w:tcPr>
            <w:tcW w:w="1006"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pPr>
            <w:r>
              <w:rPr/>
            </w:r>
          </w:p>
        </w:tc>
        <w:tc>
          <w:tcPr>
            <w:tcW w:w="1006"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pPr>
            <w:r>
              <w:rPr/>
            </w:r>
          </w:p>
        </w:tc>
      </w:tr>
      <w:tr>
        <w:trPr/>
        <w:tc>
          <w:tcPr>
            <w:tcW w:w="1638" w:type="dxa"/>
            <w:tcBorders>
              <w:top w:val="single" w:sz="4" w:space="0" w:color="000000"/>
              <w:start w:val="single" w:sz="4" w:space="0" w:color="000000"/>
              <w:bottom w:val="single" w:sz="4" w:space="0" w:color="000000"/>
              <w:end w:val="single" w:sz="4" w:space="0" w:color="000000"/>
            </w:tcBorders>
          </w:tcPr>
          <w:p>
            <w:pPr>
              <w:pStyle w:val="SSBBodyText"/>
              <w:spacing w:before="0" w:after="180"/>
              <w:rPr>
                <w:b/>
              </w:rPr>
            </w:pPr>
            <w:r>
              <w:rPr>
                <w:b/>
              </w:rPr>
              <w:t>POWER PRODUCERS</w:t>
            </w:r>
          </w:p>
        </w:tc>
        <w:tc>
          <w:tcPr>
            <w:tcW w:w="1096"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b/>
              </w:rPr>
            </w:pPr>
            <w:r>
              <w:rPr>
                <w:b/>
              </w:rPr>
            </w:r>
          </w:p>
        </w:tc>
        <w:tc>
          <w:tcPr>
            <w:tcW w:w="1006"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pPr>
            <w:r>
              <w:rPr/>
            </w:r>
          </w:p>
        </w:tc>
        <w:tc>
          <w:tcPr>
            <w:tcW w:w="1006"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pPr>
            <w:r>
              <w:rPr/>
            </w:r>
          </w:p>
        </w:tc>
        <w:tc>
          <w:tcPr>
            <w:tcW w:w="1006"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pPr>
            <w:r>
              <w:rPr/>
            </w:r>
          </w:p>
        </w:tc>
        <w:tc>
          <w:tcPr>
            <w:tcW w:w="1006"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pPr>
            <w:r>
              <w:rPr/>
            </w:r>
          </w:p>
        </w:tc>
        <w:tc>
          <w:tcPr>
            <w:tcW w:w="1006"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pPr>
            <w:r>
              <w:rPr/>
            </w:r>
          </w:p>
        </w:tc>
        <w:tc>
          <w:tcPr>
            <w:tcW w:w="1006" w:type="dxa"/>
            <w:tcBorders>
              <w:top w:val="single" w:sz="4" w:space="0" w:color="000000"/>
              <w:start w:val="single" w:sz="4" w:space="0" w:color="000000"/>
              <w:bottom w:val="single" w:sz="4" w:space="0" w:color="000000"/>
              <w:end w:val="single" w:sz="4" w:space="0" w:color="000000"/>
            </w:tcBorders>
          </w:tcPr>
          <w:p>
            <w:pPr>
              <w:pStyle w:val="SSBBodyText"/>
              <w:snapToGrid w:val="false"/>
              <w:spacing w:before="0" w:after="180"/>
              <w:rPr/>
            </w:pPr>
            <w:r>
              <w:rPr/>
            </w:r>
          </w:p>
        </w:tc>
      </w:tr>
      <w:tr>
        <w:trPr/>
        <w:tc>
          <w:tcPr>
            <w:tcW w:w="1638"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AES Corp.#</w:t>
            </w:r>
          </w:p>
        </w:tc>
        <w:tc>
          <w:tcPr>
            <w:tcW w:w="109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AES-$48</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$75</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$1.90</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$2.30</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20.9x</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30%</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0.7x</w:t>
            </w:r>
          </w:p>
        </w:tc>
      </w:tr>
      <w:tr>
        <w:trPr/>
        <w:tc>
          <w:tcPr>
            <w:tcW w:w="1638"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Mirant</w:t>
            </w:r>
          </w:p>
        </w:tc>
        <w:tc>
          <w:tcPr>
            <w:tcW w:w="109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MIR-$34</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$37</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$1.50</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$1.70</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20.1</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25%</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0.8</w:t>
            </w:r>
          </w:p>
        </w:tc>
      </w:tr>
      <w:tr>
        <w:trPr/>
        <w:tc>
          <w:tcPr>
            <w:tcW w:w="1638"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Calpine#</w:t>
            </w:r>
          </w:p>
        </w:tc>
        <w:tc>
          <w:tcPr>
            <w:tcW w:w="109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CPN-$55</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$60</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$1.90</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$2.40</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22.9</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35%</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0.7</w:t>
            </w:r>
          </w:p>
        </w:tc>
      </w:tr>
      <w:tr>
        <w:trPr/>
        <w:tc>
          <w:tcPr>
            <w:tcW w:w="1638"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NRG Energy</w:t>
            </w:r>
          </w:p>
        </w:tc>
        <w:tc>
          <w:tcPr>
            <w:tcW w:w="109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NRG-$34</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$40</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$1.37</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$1.70</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19.8</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25%</w:t>
            </w:r>
          </w:p>
        </w:tc>
        <w:tc>
          <w:tcPr>
            <w:tcW w:w="1006" w:type="dxa"/>
            <w:tcBorders>
              <w:top w:val="single" w:sz="4" w:space="0" w:color="000000"/>
              <w:start w:val="single" w:sz="4" w:space="0" w:color="000000"/>
              <w:bottom w:val="single" w:sz="4" w:space="0" w:color="000000"/>
              <w:end w:val="single" w:sz="4" w:space="0" w:color="000000"/>
            </w:tcBorders>
          </w:tcPr>
          <w:p>
            <w:pPr>
              <w:pStyle w:val="SSBBodyText"/>
              <w:spacing w:before="0" w:after="180"/>
              <w:rPr/>
            </w:pPr>
            <w:r>
              <w:rPr/>
              <w:t>0.8</w:t>
            </w:r>
          </w:p>
        </w:tc>
      </w:tr>
    </w:tbl>
    <w:p>
      <w:pPr>
        <w:pStyle w:val="SSBBodyText"/>
        <w:rPr/>
      </w:pPr>
      <w:r>
        <w:rPr/>
      </w:r>
    </w:p>
    <w:p>
      <w:pPr>
        <w:pStyle w:val="SSBBodyText"/>
        <w:spacing w:lineRule="auto" w:line="240"/>
        <w:rPr>
          <w:color w:val="000000"/>
          <w:sz w:val="18"/>
          <w:lang w:eastAsia="en-US"/>
        </w:rPr>
      </w:pPr>
      <w:r>
        <w:rPr>
          <w:color w:val="000000"/>
          <w:sz w:val="18"/>
          <w:lang w:eastAsia="en-US"/>
        </w:rPr>
        <w:t>#  Within the past three years, Salomon Smith Barney, including its parent, subsidiaries and/or affiliates, have acted as manager or co-manager of a public offering of this company.</w:t>
      </w:r>
    </w:p>
    <w:p>
      <w:pPr>
        <w:sectPr>
          <w:type w:val="continuous"/>
          <w:pgSz w:w="12240" w:h="15840"/>
          <w:pgMar w:left="3096" w:right="1310" w:gutter="0" w:header="504" w:top="1008" w:footer="576" w:bottom="965"/>
          <w:formProt w:val="false"/>
          <w:titlePg/>
          <w:textDirection w:val="lrTb"/>
          <w:docGrid w:type="default" w:linePitch="360" w:charSpace="0"/>
        </w:sectPr>
      </w:pPr>
    </w:p>
    <w:p>
      <w:pPr>
        <w:pStyle w:val="Normal"/>
        <w:rPr/>
      </w:pPr>
      <w:r>
        <w:rPr/>
      </w:r>
      <w:bookmarkStart w:id="1" w:name="SSB_ReusableText"/>
      <w:bookmarkStart w:id="2" w:name="SSB_ReusableText"/>
      <w:bookmarkEnd w:id="2"/>
    </w:p>
    <w:p>
      <w:pPr>
        <w:pStyle w:val="Normal"/>
        <w:rPr/>
      </w:pPr>
      <w:r>
        <w:rPr/>
      </w:r>
      <w:bookmarkStart w:id="3" w:name="SSB_Insert"/>
      <w:bookmarkStart w:id="4" w:name="SSB_Insert"/>
      <w:bookmarkEnd w:id="4"/>
    </w:p>
    <w:p>
      <w:pPr>
        <w:pStyle w:val="SSBDisclaimerFirstCall"/>
        <w:rPr/>
      </w:pPr>
      <w:r>
        <w:rPr/>
        <w:t>ADDITIONAL INFORMATION AVAILABLE UPON REQUEST</w:t>
      </w:r>
    </w:p>
    <w:p>
      <w:pPr>
        <w:pStyle w:val="SSBDisclaimerFirstCall"/>
        <w:rPr/>
      </w:pPr>
      <w:r>
        <w:fldChar w:fldCharType="begin">
          <w:ffData>
            <w:name w:val="trc_Hedge_A"/>
            <w:enabled/>
            <w:calcOnExit w:val="0"/>
            <w:textInput/>
          </w:ffData>
        </w:fldChar>
      </w:r>
      <w:r>
        <w:rPr>
          <w:rFonts w:eastAsia="Arial"/>
          <w:lang w:eastAsia="en-CA"/>
        </w:rPr>
        <w:instrText xml:space="preserve"> FORMTEXT </w:instrText>
      </w:r>
      <w:r>
        <w:rPr>
          <w:rFonts w:eastAsia="Arial"/>
          <w:lang w:eastAsia="en-CA"/>
        </w:rPr>
      </w:r>
      <w:r>
        <w:rPr>
          <w:lang w:eastAsia="en-CA"/>
        </w:rPr>
        <w:fldChar w:fldCharType="separate"/>
      </w:r>
      <w:r>
        <w:rPr>
          <w:lang w:eastAsia="en-CA"/>
        </w:rPr>
        <w:t xml:space="preserve"> </w:t>
      </w:r>
      <w:r>
        <w:rPr>
          <w:lang w:eastAsia="en-CA"/>
        </w:rPr>
      </w:r>
      <w:r>
        <w:rPr>
          <w:lang w:eastAsia="en-CA"/>
        </w:rPr>
        <w:fldChar w:fldCharType="end"/>
      </w:r>
      <w:r>
        <w:rPr/>
        <w:t>Securities recommended, offered, or sold by SSB: (i) are not insured by the Federal Deposit Insurance Corporation; (ii) are not deposits or other obligations of any insured depository institution (including Citibank); and (iii) are subject to investment risks, including the possible loss of the principal amount invested.  (c) Salomon Smith Barney Inc., 2000.  All rights reserved.  Any unauthorized use, duplication or disclosure is prohibited by law and may result in prosecution.  Please refer to ticker SSBDISCL for important Salomon Smith Barney Disclaimer information.</w:t>
      </w:r>
    </w:p>
    <w:p>
      <w:pPr>
        <w:pStyle w:val="SSBDisclaimer"/>
        <w:rPr/>
      </w:pPr>
      <w:r>
        <w:rPr/>
        <w:t>ADDITIONAL INFORMATION AVAILABLE UPON REQUEST</w:t>
      </w:r>
    </w:p>
    <w:p>
      <w:pPr>
        <w:pStyle w:val="SSBDisclaimer"/>
        <w:rPr>
          <w:sz w:val="14"/>
        </w:rPr>
      </w:pPr>
      <w:r>
        <w:fldChar w:fldCharType="begin">
          <w:ffData>
            <w:name w:val="TRC_HEDGE"/>
            <w:enabled/>
            <w:calcOnExit w:val="0"/>
            <w:textInput/>
          </w:ffData>
        </w:fldChar>
      </w:r>
      <w:r>
        <w:rPr>
          <w:vanish/>
          <w:rFonts w:eastAsia="Arial"/>
          <w:lang w:eastAsia="en-CA"/>
        </w:rPr>
        <w:instrText xml:space="preserve"> FORMTEXT </w:instrText>
      </w:r>
      <w:r>
        <w:rPr>
          <w:rFonts w:eastAsia="Arial"/>
          <w:vanish/>
          <w:lang w:eastAsia="en-CA"/>
        </w:rPr>
      </w:r>
      <w:r>
        <w:rPr>
          <w:vanish/>
          <w:lang w:eastAsia="en-CA"/>
        </w:rPr>
        <w:fldChar w:fldCharType="separate"/>
      </w:r>
      <w:r>
        <w:rPr>
          <w:vanish/>
          <w:lang w:eastAsia="en-CA"/>
        </w:rPr>
        <w:t xml:space="preserve"> </w:t>
      </w:r>
      <w:r>
        <w:rPr>
          <w:vanish/>
          <w:lang w:eastAsia="en-CA"/>
        </w:rPr>
      </w:r>
      <w:r>
        <w:rPr>
          <w:vanish/>
          <w:lang w:eastAsia="en-CA"/>
        </w:rPr>
        <w:fldChar w:fldCharType="end"/>
      </w:r>
      <w:r>
        <w:rPr/>
        <w:t>Salomon Smith Barney ("SSB"), including its parent, subsidiaries and/or affiliates ("the Firm"), usually makes a market in the U.S.-traded over the counter securities recommended in this report and may sell to or buy from customers, as principal, securities recommended in this report.  The Firm or employees preparing this report may have a position in securities or options of any company recommended in this report.  An employee of the Firm may be a director of a company recommended in this report. The Firm may perform or solicit investment banking or other services from any company recommended in this report.</w:t>
      </w:r>
    </w:p>
    <w:p>
      <w:pPr>
        <w:pStyle w:val="SSBDisclaimer"/>
        <w:rPr>
          <w:sz w:val="14"/>
        </w:rPr>
      </w:pPr>
      <w:r>
        <w:rPr>
          <w:sz w:val="14"/>
        </w:rPr>
        <w:t xml:space="preserve">Securities recommended, offered, or sold by SSB: (i) are not insured by the Federal Deposit Insurance Corporation; (ii) are not deposits or other obligations of any insured depository institution (including Citibank); and (iii) are subject to investment risks, including the possible loss of the principal amount invested.  Although information has been obtained from and is based upon sources SSB believes to be reliable, we do not guarantee its accuracy and it may be incomplete or condensed.  All opinions and estimates constitute SSB's judgment as of the date of the report and are subject to change without notice.  This report is for informational purposes only and is not intended as an offer or solicitation for the purchase or sale of a security.  Investing in non-U.S. securities, including ADRs, by U.S. persons may entail certain risks.  Investors who have received this report may be prohibited in certain U.S. states from purchasing securities mentioned in this report from SSB.  Please ask your financial consultant for additional details.  This report has been approved for distribution in the United Kingdom by Salomon Brothers International Limited, which is regulated by the Securities and Futures Authority.  The investments and services contained herein are not available to private customers in the UK.  This report was prepared by SSB and, if distributed in Japan by Nikko Salomon Smith Barney Limited, is being so distributed under license.  This report is made available in Australia through Salomon Smith Barney Australia Securities Pty Ltd. (ACN 003 114 832), a Licensed Securities Dealer, and in New Zealand through Salomon Smith Barney New Zealand Limited, a member firm of the New Zealand Stock Exchange.  This report does not take into account the investment objectives or financial situation of any particular person.  Investors should obtain advice based on their own individual circumstances before making an investment decision.  The research opinions herein may differ from those of The Robinson-Humphrey Company, LLC, a wholly owned subsidiary of SSB.  Salomon Smith Barney is a service mark of Salomon Smith Barney Inc.  </w:t>
      </w:r>
    </w:p>
    <w:p>
      <w:pPr>
        <w:pStyle w:val="SSBDisclaimer"/>
        <w:rPr>
          <w:sz w:val="14"/>
        </w:rPr>
      </w:pPr>
      <w:r>
        <w:rPr>
          <w:sz w:val="14"/>
        </w:rPr>
        <w:t>© Salomon Smith Barney Inc., 2000.  All rights reserved.  Any unauthorized use, duplication or disclosure is prohibited by law and may result in prosecution.</w:t>
      </w:r>
    </w:p>
    <w:p>
      <w:pPr>
        <w:pStyle w:val="Normal"/>
        <w:rPr/>
      </w:pPr>
      <w:r>
        <w:rPr/>
      </w:r>
    </w:p>
    <w:sectPr>
      <w:type w:val="continuous"/>
      <w:pgSz w:w="12240" w:h="15840"/>
      <w:pgMar w:left="3096" w:right="1310" w:gutter="0" w:header="504" w:top="1008" w:footer="576" w:bottom="965"/>
      <w:formProt w:val="tru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ZapfDingbats">
    <w:charset w:val="00" w:characterSet="windows-1252"/>
    <w:family w:val="decorative"/>
    <w:pitch w:val="variable"/>
  </w:font>
  <w:font w:name="Helvetica-Black">
    <w:charset w:val="00" w:characterSet="windows-1252"/>
    <w:family w:val="swiss"/>
    <w:pitch w:val="variable"/>
  </w:font>
  <w:font w:name="HelveticaNeue Condensed">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8" w:space="1" w:color="000000"/>
      </w:pBdr>
      <w:rPr/>
    </w:pPr>
    <w:r>
      <w:rPr/>
      <w:tab/>
      <w:tab/>
    </w:r>
    <w:r>
      <w:rPr/>
      <w:fldChar w:fldCharType="begin"/>
    </w:r>
    <w:r>
      <w:rPr/>
      <w:instrText xml:space="preserve"> PAGE </w:instrText>
    </w:r>
    <w:r>
      <w:rPr/>
      <w:fldChar w:fldCharType="separate"/>
    </w:r>
    <w:r>
      <w:rPr/>
      <w:t>2</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ab/>
    </w:r>
    <w:r>
      <w:rPr>
        <w:lang w:val="en-CA"/>
      </w:rPr>
      <w:drawing>
        <wp:inline distT="0" distB="0" distL="0" distR="0">
          <wp:extent cx="1191895" cy="15240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1"/>
                  <a:srcRect l="-30" t="-236" r="-30" b="-236"/>
                  <a:stretch>
                    <a:fillRect/>
                  </a:stretch>
                </pic:blipFill>
                <pic:spPr bwMode="auto">
                  <a:xfrm>
                    <a:off x="0" y="0"/>
                    <a:ext cx="1191895" cy="152400"/>
                  </a:xfrm>
                  <a:prstGeom prst="rect">
                    <a:avLst/>
                  </a:prstGeom>
                  <a:noFill/>
                </pic:spPr>
              </pic:pic>
            </a:graphicData>
          </a:graphic>
        </wp:inline>
      </w:drawing>
    </w:r>
  </w:p>
  <w:p>
    <w:pPr>
      <w:pStyle w:val="SSBLogo1st"/>
      <w:rPr/>
    </w:pPr>
    <w:r>
      <w:rPr/>
      <w:drawing>
        <wp:inline distT="0" distB="0" distL="0" distR="0">
          <wp:extent cx="2972435" cy="295275"/>
          <wp:effectExtent l="0" t="0" r="0" b="0"/>
          <wp:docPr id="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title=""/>
                  <pic:cNvPicPr>
                    <a:picLocks noChangeAspect="1" noChangeArrowheads="1"/>
                  </pic:cNvPicPr>
                </pic:nvPicPr>
                <pic:blipFill>
                  <a:blip r:embed="rId2"/>
                  <a:srcRect l="-12" t="-122" r="-12" b="-122"/>
                  <a:stretch>
                    <a:fillRect/>
                  </a:stretch>
                </pic:blipFill>
                <pic:spPr bwMode="auto">
                  <a:xfrm>
                    <a:off x="0" y="0"/>
                    <a:ext cx="2972435" cy="295275"/>
                  </a:xfrm>
                  <a:prstGeom prst="rect">
                    <a:avLst/>
                  </a:prstGeom>
                  <a:noFill/>
                </pic:spPr>
              </pic:pic>
            </a:graphicData>
          </a:graphic>
        </wp:inline>
      </w:drawing>
    </w:r>
    <w:r>
      <mc:AlternateContent>
        <mc:Choice Requires="wps">
          <w:drawing>
            <wp:anchor behindDoc="0" distT="0" distB="0" distL="0" distR="0" simplePos="0" locked="0" layoutInCell="0" allowOverlap="1" relativeHeight="4">
              <wp:simplePos x="0" y="0"/>
              <wp:positionH relativeFrom="page">
                <wp:align>right</wp:align>
              </wp:positionH>
              <wp:positionV relativeFrom="page">
                <wp:posOffset>1463675</wp:posOffset>
              </wp:positionV>
              <wp:extent cx="1677670" cy="457200"/>
              <wp:effectExtent l="0" t="0" r="0" b="0"/>
              <wp:wrapSquare wrapText="bothSides"/>
              <wp:docPr id="4" name="Frame1"/>
              <a:graphic xmlns:a="http://schemas.openxmlformats.org/drawingml/2006/main">
                <a:graphicData uri="http://schemas.microsoft.com/office/word/2010/wordprocessingShape">
                  <wps:wsp>
                    <wps:cNvSpPr txBox="1"/>
                    <wps:spPr>
                      <a:xfrm>
                        <a:off x="0" y="0"/>
                        <a:ext cx="1677670" cy="457200"/>
                      </a:xfrm>
                      <a:prstGeom prst="rect"/>
                      <a:solidFill>
                        <a:srgbClr val="FFFFFF">
                          <a:alpha val="0"/>
                        </a:srgbClr>
                      </a:solidFill>
                    </wps:spPr>
                    <wps:txbx>
                      <w:txbxContent>
                        <w:p>
                          <w:pPr>
                            <w:pStyle w:val="SSBRegion"/>
                            <w:spacing w:lineRule="exact" w:line="480" w:before="240" w:after="0"/>
                            <w:jc w:val="end"/>
                            <w:rPr/>
                          </w:pPr>
                          <w:r>
                            <w:rPr/>
                            <w:t>United States</w:t>
                          </w:r>
                        </w:p>
                      </w:txbxContent>
                    </wps:txbx>
                    <wps:bodyPr anchor="t" lIns="0" tIns="0" rIns="0" bIns="0">
                      <a:noAutofit/>
                    </wps:bodyPr>
                  </wps:wsp>
                </a:graphicData>
              </a:graphic>
            </wp:anchor>
          </w:drawing>
        </mc:Choice>
        <mc:Fallback>
          <w:pict>
            <v:rect fillcolor="#FFFFFF" style="position:absolute;rotation:-0;width:132.1pt;height:36pt;mso-wrap-distance-left:0pt;mso-wrap-distance-right:0pt;mso-wrap-distance-top:0pt;mso-wrap-distance-bottom:0pt;margin-top:115.25pt;mso-position-vertical-relative:page;margin-left:479.85pt;mso-position-horizontal:right;mso-position-horizontal-relative:page">
              <v:fill opacity="0f"/>
              <v:textbox inset="0in,0in,0in,0in">
                <w:txbxContent>
                  <w:p>
                    <w:pPr>
                      <w:pStyle w:val="SSBRegion"/>
                      <w:spacing w:lineRule="exact" w:line="480" w:before="240" w:after="0"/>
                      <w:jc w:val="end"/>
                      <w:rPr/>
                    </w:pPr>
                    <w:r>
                      <w:rPr/>
                      <w:t>United States</w:t>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drawing>
        <wp:inline distT="0" distB="0" distL="0" distR="0">
          <wp:extent cx="1534160" cy="15240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1"/>
                  <a:srcRect l="-23" t="-236" r="-23" b="-236"/>
                  <a:stretch>
                    <a:fillRect/>
                  </a:stretch>
                </pic:blipFill>
                <pic:spPr bwMode="auto">
                  <a:xfrm>
                    <a:off x="0" y="0"/>
                    <a:ext cx="1534160" cy="152400"/>
                  </a:xfrm>
                  <a:prstGeom prst="rect">
                    <a:avLst/>
                  </a:prstGeom>
                  <a:noFill/>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SBTitle"/>
      <w:spacing w:before="120" w:after="0"/>
      <w:jc w:val="end"/>
      <w:rPr/>
    </w:pPr>
    <w:r>
      <w:rPr/>
      <w:t>Industry Note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288" w:hanging="288"/>
      </w:pPr>
      <w:rPr>
        <w:rFonts w:ascii="ZapfDingbats" w:hAnsi="ZapfDingbats" w:cs="ZapfDingbats" w:hint="default"/>
        <w:sz w:val="20"/>
        <w:color w:val="000000"/>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NEXTERATemplateVersion" w:val="1.0"/>
    <w:docVar w:name="NEXTERAUpdated" w:val="9/20/99"/>
    <w:docVar w:name="trc_AnalystEmail1" w:val="ray.niles@ssmb.com"/>
    <w:docVar w:name="trc_AnalystEmail2" w:val="NULL"/>
    <w:docVar w:name="trc_AnalystEmail3" w:val="NULL"/>
    <w:docVar w:name="trc_AnalystID" w:val="rn95785"/>
    <w:docVar w:name="trc_AnalystID_Sec1" w:val="NULL"/>
    <w:docVar w:name="trc_AnalystID_Sec2" w:val="NULL"/>
    <w:docVar w:name="trc_AnalystName1" w:val="Raymond Niles"/>
    <w:docVar w:name="trc_AnalystName2" w:val="NULL"/>
    <w:docVar w:name="trc_AnalystName3" w:val="NULL"/>
    <w:docVar w:name="trc_AnalystPhone1" w:val="212-816-2807"/>
    <w:docVar w:name="trc_AnalystPhone2" w:val="NULL"/>
    <w:docVar w:name="trc_AnalystPhone3" w:val="NULL"/>
    <w:docVar w:name="trc_blastvm" w:val="False"/>
    <w:docVar w:name="trc_comments" w:val="URGENT Added current prices; needed for today's call; already approved by Andrew Surgan"/>
    <w:docVar w:name="trc_companyname" w:val="NULL"/>
    <w:docVar w:name="trc_CurFY" w:val="NULL"/>
    <w:docVar w:name="trc_CurrentPrice" w:val="NULL"/>
    <w:docVar w:name="trc_CurrentPrice_P" w:val="NULL"/>
    <w:docVar w:name="trc_DateOfSubmission" w:val="04/26/2001 7:43:16 AM"/>
    <w:docVar w:name="trc_Description" w:val="NA"/>
    <w:docVar w:name="trc_DOC_NOTE_ProtectDate" w:val="4/26/01 8:05:26 AM"/>
    <w:docVar w:name="trc_DocID" w:val="39932"/>
    <w:docVar w:name="trc_DocumentType" w:val="8"/>
    <w:docVar w:name="trc_EPSGR" w:val="NULL"/>
    <w:docVar w:name="trc_EPSGR_P" w:val="NULL"/>
    <w:docVar w:name="trc_FromWorkFlow" w:val="False"/>
    <w:docVar w:name="trc_FYEndMonthIndex" w:val="NULL"/>
    <w:docVar w:name="trc_headline" w:val="FERC ACTS TO IMPOSE TEMPORARY PRICE CAPS IN WEST"/>
    <w:docVar w:name="trc_headline_display" w:val="FERC ACTS TO IMPOSE TEMPORARY PRICE CAPS IN WEST"/>
    <w:docVar w:name="trc_Hedge" w:val=" "/>
    <w:docVar w:name="trc_IB_Relation" w:val="NULL"/>
    <w:docVar w:name="trc_indexgroup" w:val="NULL"/>
    <w:docVar w:name="trc_industry" w:val="Power &amp; Natural Gas"/>
    <w:docVar w:name="trc_industry_Sub" w:val="NULL"/>
    <w:docVar w:name="trc_industryID" w:val="121130"/>
    <w:docVar w:name="trc_IsDescription" w:val="True"/>
    <w:docVar w:name="trc_IsThesis" w:val="True"/>
    <w:docVar w:name="trc_LastActualQuarte" w:val="Q0"/>
    <w:docVar w:name="trc_MCDate" w:val="4/26/01 8:00:00 AM"/>
    <w:docVar w:name="trc_MKTCAP" w:val="NULL"/>
    <w:docVar w:name="trc_MktCap_U" w:val="mil."/>
    <w:docVar w:name="trc_morningcall" w:val="True"/>
    <w:docVar w:name="trc_OtherCompanies" w:val="ENE,EPG,DYN,WMB,DUK,AES,MIR,CPN,NRG"/>
    <w:docVar w:name="trc_OtherIndustryIDs" w:val="NULL"/>
    <w:docVar w:name="trc_Pages" w:val="2"/>
    <w:docVar w:name="trc_PRICEDATE" w:val="NULL"/>
    <w:docVar w:name="trc_priority" w:val="5"/>
    <w:docVar w:name="trc_pub_subtype" w:val="1"/>
    <w:docVar w:name="trc_publicationtype" w:val="Industry Note"/>
    <w:docVar w:name="trc_RATING" w:val="NULL"/>
    <w:docVar w:name="trc_RATING_P" w:val="NULL"/>
    <w:docVar w:name="trc_RATINGDATE" w:val="NULL"/>
    <w:docVar w:name="trc_releasedate" w:val="April 26, 2001"/>
    <w:docVar w:name="trc_Risk" w:val="NULL"/>
    <w:docVar w:name="trc_Risk_P" w:val="NULL"/>
    <w:docVar w:name="trc_SecurityID" w:val="NULL"/>
    <w:docVar w:name="trc_SharesOut" w:val="NULL"/>
    <w:docVar w:name="trc_SharesOut_U" w:val="mil."/>
    <w:docVar w:name="trc_StatusMark" w:val="NONE"/>
    <w:docVar w:name="trc_SubjectIDs" w:val="IND"/>
    <w:docVar w:name="trc_submitter" w:val="bm58212"/>
    <w:docVar w:name="trc_submittername" w:val="Benjamin Morton"/>
    <w:docVar w:name="trc_submitterphone" w:val="212-816-2086"/>
    <w:docVar w:name="trc_target" w:val="NULL"/>
    <w:docVar w:name="trc_target_P" w:val="NULL"/>
    <w:docVar w:name="trc_TemplateID" w:val="8"/>
    <w:docVar w:name="trc_Thesis" w:val="NA"/>
    <w:docVar w:name="trc_ticker" w:val="NULL"/>
    <w:docVar w:name="trc_Ticker_P" w:val="NULL"/>
    <w:docVar w:name="trc_Version" w:val="2"/>
    <w:docVar w:name="trc_WkRng52Hi" w:val="NULL"/>
    <w:docVar w:name="trc_WkRng52Low" w:val="NULL"/>
    <w:docVar w:name="trc_y1" w:val="-1"/>
    <w:docVar w:name="trc_y2" w:val="0"/>
    <w:docVar w:name="trc_y3" w:val="1"/>
    <w:docVar w:name="trc_y4" w:val="2"/>
  </w:docVars>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250"/>
    </w:pPr>
    <w:rPr>
      <w:rFonts w:ascii="Times New Roman" w:hAnsi="Times New Roman" w:eastAsia="Times New Roman" w:cs="Times New Roman"/>
      <w:color w:val="auto"/>
      <w:kern w:val="2"/>
      <w:sz w:val="21"/>
      <w:szCs w:val="20"/>
      <w:lang w:val="en-US" w:eastAsia="zh-CN" w:bidi="hi-IN"/>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ZapfDingbats" w:hAnsi="ZapfDingbats" w:cs="ZapfDingbats"/>
      <w:color w:val="000000"/>
      <w:sz w:val="20"/>
    </w:rPr>
  </w:style>
  <w:style w:type="character" w:styleId="WW8Num5z0">
    <w:name w:val="WW8Num5z0"/>
    <w:qFormat/>
    <w:rPr>
      <w:rFonts w:ascii="ZapfDingbats" w:hAnsi="ZapfDingbats" w:cs="ZapfDingbats"/>
      <w:color w:val="000000"/>
      <w:sz w:val="20"/>
    </w:rPr>
  </w:style>
  <w:style w:type="character" w:styleId="WW8Num6z0">
    <w:name w:val="WW8Num6z0"/>
    <w:qFormat/>
    <w:rPr/>
  </w:style>
  <w:style w:type="character" w:styleId="WW8Num7z0">
    <w:name w:val="WW8Num7z0"/>
    <w:qFormat/>
    <w:rPr>
      <w:rFonts w:ascii="ZapfDingbats" w:hAnsi="ZapfDingbats" w:cs="ZapfDingbats"/>
      <w:color w:val="000000"/>
      <w:sz w:val="21"/>
    </w:rPr>
  </w:style>
  <w:style w:type="character" w:styleId="WW8Num8z0">
    <w:name w:val="WW8Num8z0"/>
    <w:qFormat/>
    <w:rPr/>
  </w:style>
  <w:style w:type="character" w:styleId="WW8Num9z0">
    <w:name w:val="WW8Num9z0"/>
    <w:qFormat/>
    <w:rPr>
      <w:rFonts w:ascii="ZapfDingbats" w:hAnsi="ZapfDingbats" w:cs="ZapfDingbats"/>
      <w:color w:val="000000"/>
      <w:sz w:val="20"/>
    </w:rPr>
  </w:style>
  <w:style w:type="character" w:styleId="WW8Num10z0">
    <w:name w:val="WW8Num10z0"/>
    <w:qFormat/>
    <w:rPr>
      <w:rFonts w:ascii="Wingdings" w:hAnsi="Wingdings" w:cs="Wingdings"/>
    </w:rPr>
  </w:style>
  <w:style w:type="character" w:styleId="WW8Num11z0">
    <w:name w:val="WW8Num11z0"/>
    <w:qFormat/>
    <w:rPr/>
  </w:style>
  <w:style w:type="character" w:styleId="WW8Num12z0">
    <w:name w:val="WW8Num12z0"/>
    <w:qFormat/>
    <w:rPr>
      <w:rFonts w:ascii="ZapfDingbats" w:hAnsi="ZapfDingbats" w:cs="ZapfDingbats"/>
      <w:color w:val="000000"/>
      <w:sz w:val="20"/>
    </w:rPr>
  </w:style>
  <w:style w:type="character" w:styleId="WW8Num13z0">
    <w:name w:val="WW8Num13z0"/>
    <w:qFormat/>
    <w:rPr>
      <w:rFonts w:ascii="ZapfDingbats" w:hAnsi="ZapfDingbats" w:cs="ZapfDingbats"/>
      <w:color w:val="000000"/>
      <w:sz w:val="20"/>
    </w:rPr>
  </w:style>
  <w:style w:type="character" w:styleId="WW8NumSt7z0">
    <w:name w:val="WW8NumSt7z0"/>
    <w:qFormat/>
    <w:rPr>
      <w:rFonts w:ascii="Wingdings" w:hAnsi="Wingdings" w:cs="Wingdings"/>
      <w:color w:val="000000"/>
      <w:sz w:val="22"/>
    </w:rPr>
  </w:style>
  <w:style w:type="character" w:styleId="DefaultParagraphFont">
    <w:name w:val="Default Paragraph Font"/>
    <w:qFormat/>
    <w:rPr/>
  </w:style>
  <w:style w:type="character" w:styleId="SSBChangeCheckBox">
    <w:name w:val="SSB_Change_CheckBox"/>
    <w:basedOn w:val="DefaultParagraphFont"/>
    <w:qFormat/>
    <w:rPr>
      <w:rFonts w:ascii="ZapfDingbats" w:hAnsi="ZapfDingbats" w:cs="ZapfDingbats"/>
      <w:sz w:val="18"/>
      <w:lang w:val="en-CA" w:eastAsia="en-CA"/>
    </w:rPr>
  </w:style>
  <w:style w:type="character" w:styleId="SSBMarketCapNumber">
    <w:name w:val="SSB_MarketCap_Number"/>
    <w:basedOn w:val="DefaultParagraphFont"/>
    <w:qFormat/>
    <w:rPr>
      <w:rFonts w:ascii="Helvetica-Black" w:hAnsi="Helvetica-Black" w:cs="Helvetica-Black"/>
      <w:sz w:val="20"/>
    </w:rPr>
  </w:style>
  <w:style w:type="character" w:styleId="SSBRatingDescription">
    <w:name w:val="SSB_Rating_Description"/>
    <w:basedOn w:val="DefaultParagraphFont"/>
    <w:qFormat/>
    <w:rPr>
      <w:rFonts w:ascii="HelveticaNeue Condensed" w:hAnsi="HelveticaNeue Condensed" w:cs="HelveticaNeue Condensed"/>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40"/>
    </w:pPr>
    <w:rPr>
      <w:rFonts w:ascii="Arial" w:hAnsi="Arial" w:cs="Arial"/>
      <w:color w:val="000000"/>
      <w:kern w:val="0"/>
      <w:sz w:val="14"/>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2880" w:leader="none"/>
        <w:tab w:val="right" w:pos="7830" w:leader="none"/>
      </w:tabs>
      <w:spacing w:lineRule="auto" w:line="240"/>
      <w:ind w:hanging="0" w:start="-2016" w:end="0"/>
    </w:pPr>
    <w:rPr>
      <w:sz w:val="22"/>
    </w:rPr>
  </w:style>
  <w:style w:type="paragraph" w:styleId="Footer">
    <w:name w:val="footer"/>
    <w:basedOn w:val="Normal"/>
    <w:pPr>
      <w:tabs>
        <w:tab w:val="clear" w:pos="720"/>
        <w:tab w:val="center" w:pos="2880" w:leader="none"/>
        <w:tab w:val="right" w:pos="7830" w:leader="none"/>
      </w:tabs>
      <w:spacing w:lineRule="auto" w:line="240"/>
      <w:ind w:hanging="0" w:start="-2016" w:end="0"/>
    </w:pPr>
    <w:rPr>
      <w:sz w:val="22"/>
    </w:rPr>
  </w:style>
  <w:style w:type="paragraph" w:styleId="SSBData">
    <w:name w:val="SSB_Data"/>
    <w:basedOn w:val="Normal"/>
    <w:qFormat/>
    <w:pPr>
      <w:tabs>
        <w:tab w:val="clear" w:pos="720"/>
        <w:tab w:val="right" w:pos="3600" w:leader="dot"/>
      </w:tabs>
      <w:spacing w:lineRule="exact" w:line="220" w:before="0" w:after="60"/>
    </w:pPr>
    <w:rPr>
      <w:rFonts w:ascii="HelveticaNeue Condensed" w:hAnsi="HelveticaNeue Condensed" w:cs="HelveticaNeue Condensed"/>
      <w:sz w:val="18"/>
    </w:rPr>
  </w:style>
  <w:style w:type="paragraph" w:styleId="SSBAnalystPhone">
    <w:name w:val="SSB_Analyst_Phone"/>
    <w:basedOn w:val="SSBData"/>
    <w:next w:val="SSBAnalystEmail"/>
    <w:qFormat/>
    <w:pPr>
      <w:tabs>
        <w:tab w:val="clear" w:pos="3600"/>
      </w:tabs>
      <w:spacing w:before="0" w:after="0"/>
    </w:pPr>
    <w:rPr/>
  </w:style>
  <w:style w:type="paragraph" w:styleId="SSBAnalystEmail">
    <w:name w:val="SSB_Analyst_Email"/>
    <w:basedOn w:val="SSBAnalystPhone"/>
    <w:next w:val="SSBAnalystName"/>
    <w:qFormat/>
    <w:pPr/>
    <w:rPr>
      <w:i/>
    </w:rPr>
  </w:style>
  <w:style w:type="paragraph" w:styleId="SSBAnalystName">
    <w:name w:val="SSB_Analyst_Name"/>
    <w:basedOn w:val="SSBData"/>
    <w:next w:val="SSBAnalystPhone"/>
    <w:qFormat/>
    <w:pPr>
      <w:tabs>
        <w:tab w:val="clear" w:pos="3600"/>
      </w:tabs>
      <w:spacing w:lineRule="exact" w:line="270" w:before="180" w:after="0"/>
    </w:pPr>
    <w:rPr>
      <w:b/>
      <w:sz w:val="23"/>
      <w:lang w:val="en-CA"/>
    </w:rPr>
  </w:style>
  <w:style w:type="paragraph" w:styleId="SSBBlackLine">
    <w:name w:val="SSB_BlackLine"/>
    <w:basedOn w:val="Normal"/>
    <w:next w:val="SSBHeading"/>
    <w:qFormat/>
    <w:pPr>
      <w:shd w:fill="000000" w:val="clear"/>
      <w:spacing w:lineRule="exact" w:line="140" w:before="0" w:after="40"/>
    </w:pPr>
    <w:rPr/>
  </w:style>
  <w:style w:type="paragraph" w:styleId="SSBHeading">
    <w:name w:val="SSB_Heading"/>
    <w:basedOn w:val="SSBData"/>
    <w:next w:val="SSBAnalystName"/>
    <w:qFormat/>
    <w:pPr>
      <w:keepNext w:val="true"/>
      <w:keepLines/>
      <w:tabs>
        <w:tab w:val="clear" w:pos="3600"/>
      </w:tabs>
      <w:spacing w:lineRule="exact" w:line="230"/>
      <w:outlineLvl w:val="2"/>
    </w:pPr>
    <w:rPr>
      <w:b/>
      <w:caps/>
      <w:sz w:val="19"/>
    </w:rPr>
  </w:style>
  <w:style w:type="paragraph" w:styleId="SSBBodyCallout">
    <w:name w:val="SSB_Body_Callout"/>
    <w:basedOn w:val="Normal"/>
    <w:next w:val="SSBBodyText"/>
    <w:qFormat/>
    <w:pPr>
      <w:spacing w:lineRule="exact" w:line="200"/>
      <w:jc w:val="end"/>
      <w:outlineLvl w:val="2"/>
    </w:pPr>
    <w:rPr>
      <w:rFonts w:ascii="Arial" w:hAnsi="Arial" w:cs="Arial"/>
      <w:b/>
      <w:i/>
      <w:sz w:val="16"/>
    </w:rPr>
  </w:style>
  <w:style w:type="paragraph" w:styleId="SSBBodyText">
    <w:name w:val="SSB_Body_Text"/>
    <w:basedOn w:val="Normal"/>
    <w:qFormat/>
    <w:pPr>
      <w:spacing w:lineRule="atLeast" w:line="250" w:before="0" w:after="180"/>
    </w:pPr>
    <w:rPr/>
  </w:style>
  <w:style w:type="paragraph" w:styleId="SSBBodyHeading">
    <w:name w:val="SSB_Body_Heading"/>
    <w:basedOn w:val="SSBHeading"/>
    <w:next w:val="SSBBodyText"/>
    <w:qFormat/>
    <w:pPr>
      <w:pBdr>
        <w:top w:val="single" w:sz="12" w:space="1" w:color="808080"/>
        <w:left w:val="single" w:sz="36" w:space="4" w:color="808080"/>
      </w:pBdr>
      <w:spacing w:before="120" w:after="0"/>
      <w:outlineLvl w:val="1"/>
    </w:pPr>
    <w:rPr/>
  </w:style>
  <w:style w:type="paragraph" w:styleId="SSBChange">
    <w:name w:val="SSB_Change"/>
    <w:basedOn w:val="SSBHeading"/>
    <w:qFormat/>
    <w:pPr>
      <w:spacing w:lineRule="auto" w:line="240" w:before="0" w:after="0"/>
      <w:jc w:val="end"/>
      <w:outlineLvl w:val="9"/>
    </w:pPr>
    <w:rPr>
      <w:caps w:val="false"/>
      <w:smallCaps w:val="false"/>
    </w:rPr>
  </w:style>
  <w:style w:type="paragraph" w:styleId="SSBHeadline">
    <w:name w:val="SSB_Headline"/>
    <w:basedOn w:val="Normal"/>
    <w:qFormat/>
    <w:pPr>
      <w:keepLines/>
      <w:spacing w:lineRule="auto" w:line="240"/>
      <w:outlineLvl w:val="1"/>
    </w:pPr>
    <w:rPr>
      <w:rFonts w:ascii="Helvetica-Black" w:hAnsi="Helvetica-Black" w:cs="Helvetica-Black"/>
      <w:b/>
      <w:sz w:val="24"/>
    </w:rPr>
  </w:style>
  <w:style w:type="paragraph" w:styleId="SSBCompany">
    <w:name w:val="SSB_Company"/>
    <w:basedOn w:val="SSBHeadline"/>
    <w:next w:val="SSBHeadline"/>
    <w:qFormat/>
    <w:pPr>
      <w:spacing w:lineRule="exact" w:line="400" w:before="200" w:after="200"/>
      <w:outlineLvl w:val="0"/>
    </w:pPr>
    <w:rPr>
      <w:b w:val="false"/>
      <w:sz w:val="36"/>
    </w:rPr>
  </w:style>
  <w:style w:type="paragraph" w:styleId="SSBDataCentered">
    <w:name w:val="SSB_Data_Centered"/>
    <w:basedOn w:val="SSBData"/>
    <w:qFormat/>
    <w:pPr>
      <w:tabs>
        <w:tab w:val="clear" w:pos="3600"/>
      </w:tabs>
      <w:jc w:val="center"/>
    </w:pPr>
    <w:rPr/>
  </w:style>
  <w:style w:type="paragraph" w:styleId="SSBDataDecimal">
    <w:name w:val="SSB_Data_Decimal"/>
    <w:basedOn w:val="SSBData"/>
    <w:qFormat/>
    <w:pPr>
      <w:tabs>
        <w:tab w:val="clear" w:pos="3600"/>
        <w:tab w:val="decimal" w:pos="432" w:leader="none"/>
      </w:tabs>
    </w:pPr>
    <w:rPr>
      <w:kern w:val="0"/>
    </w:rPr>
  </w:style>
  <w:style w:type="paragraph" w:styleId="SSBDataRight">
    <w:name w:val="SSB_Data_Right"/>
    <w:basedOn w:val="SSBData"/>
    <w:qFormat/>
    <w:pPr>
      <w:tabs>
        <w:tab w:val="clear" w:pos="3600"/>
      </w:tabs>
      <w:jc w:val="end"/>
    </w:pPr>
    <w:rPr>
      <w:kern w:val="0"/>
    </w:rPr>
  </w:style>
  <w:style w:type="paragraph" w:styleId="SSBDataQ">
    <w:name w:val="SSB_DataQ"/>
    <w:basedOn w:val="SSBData"/>
    <w:qFormat/>
    <w:pPr>
      <w:spacing w:before="0" w:after="0"/>
    </w:pPr>
    <w:rPr/>
  </w:style>
  <w:style w:type="paragraph" w:styleId="SSBDataQCentered">
    <w:name w:val="SSB_DataQ_Centered"/>
    <w:basedOn w:val="SSBDataQ"/>
    <w:qFormat/>
    <w:pPr>
      <w:tabs>
        <w:tab w:val="clear" w:pos="3600"/>
      </w:tabs>
      <w:jc w:val="center"/>
    </w:pPr>
    <w:rPr/>
  </w:style>
  <w:style w:type="paragraph" w:styleId="SSBDataQDecimal">
    <w:name w:val="SSB_DataQ_Decimal"/>
    <w:basedOn w:val="SSBDataQ"/>
    <w:qFormat/>
    <w:pPr>
      <w:tabs>
        <w:tab w:val="clear" w:pos="3600"/>
        <w:tab w:val="decimal" w:pos="504" w:leader="none"/>
      </w:tabs>
    </w:pPr>
    <w:rPr>
      <w:kern w:val="0"/>
    </w:rPr>
  </w:style>
  <w:style w:type="paragraph" w:styleId="SSBDataQRight">
    <w:name w:val="SSB_DataQ_Right"/>
    <w:basedOn w:val="SSBDataQ"/>
    <w:qFormat/>
    <w:pPr>
      <w:tabs>
        <w:tab w:val="clear" w:pos="3600"/>
      </w:tabs>
      <w:jc w:val="end"/>
    </w:pPr>
    <w:rPr>
      <w:kern w:val="0"/>
    </w:rPr>
  </w:style>
  <w:style w:type="paragraph" w:styleId="SSBHidden">
    <w:name w:val="SSB_Hidden"/>
    <w:basedOn w:val="Normal"/>
    <w:qFormat/>
    <w:pPr>
      <w:tabs>
        <w:tab w:val="clear" w:pos="720"/>
        <w:tab w:val="right" w:pos="7830" w:leader="none"/>
      </w:tabs>
    </w:pPr>
    <w:rPr>
      <w:vanish/>
    </w:rPr>
  </w:style>
  <w:style w:type="paragraph" w:styleId="SSBLogo1st">
    <w:name w:val="SSB_Logo_1st"/>
    <w:basedOn w:val="Footer"/>
    <w:next w:val="Footer"/>
    <w:qFormat/>
    <w:pPr>
      <w:ind w:hanging="0" w:start="0" w:end="0"/>
    </w:pPr>
    <w:rPr/>
  </w:style>
  <w:style w:type="paragraph" w:styleId="SSBMarketCap">
    <w:name w:val="SSB_MarketCap"/>
    <w:basedOn w:val="SSBData"/>
    <w:qFormat/>
    <w:pPr>
      <w:tabs>
        <w:tab w:val="clear" w:pos="3600"/>
      </w:tabs>
      <w:spacing w:lineRule="auto" w:line="240" w:before="0" w:after="0"/>
      <w:jc w:val="end"/>
    </w:pPr>
    <w:rPr>
      <w:b/>
      <w:sz w:val="20"/>
    </w:rPr>
  </w:style>
  <w:style w:type="paragraph" w:styleId="SSBRating">
    <w:name w:val="SSB_Rating"/>
    <w:basedOn w:val="SSBHeadline"/>
    <w:next w:val="SSBMarketCap"/>
    <w:qFormat/>
    <w:pPr>
      <w:jc w:val="end"/>
      <w:outlineLvl w:val="9"/>
    </w:pPr>
    <w:rPr>
      <w:sz w:val="28"/>
    </w:rPr>
  </w:style>
  <w:style w:type="paragraph" w:styleId="SSBRegion">
    <w:name w:val="SSB_Region"/>
    <w:basedOn w:val="SSBHeadline"/>
    <w:next w:val="Footer"/>
    <w:qFormat/>
    <w:pPr>
      <w:spacing w:lineRule="exact" w:line="480" w:before="240" w:after="0"/>
      <w:jc w:val="end"/>
      <w:outlineLvl w:val="9"/>
    </w:pPr>
    <w:rPr>
      <w:b w:val="false"/>
      <w:color w:val="808080"/>
      <w:sz w:val="44"/>
    </w:rPr>
  </w:style>
  <w:style w:type="paragraph" w:styleId="SSBReleaseDate">
    <w:name w:val="SSB_ReleaseDate"/>
    <w:basedOn w:val="SSBHeadline"/>
    <w:next w:val="SSBBlackLine"/>
    <w:qFormat/>
    <w:pPr>
      <w:spacing w:before="0" w:after="480"/>
      <w:outlineLvl w:val="9"/>
    </w:pPr>
    <w:rPr>
      <w:b w:val="false"/>
      <w:sz w:val="20"/>
    </w:rPr>
  </w:style>
  <w:style w:type="paragraph" w:styleId="SSBSummary">
    <w:name w:val="SSB_Summary"/>
    <w:basedOn w:val="SSBBodyText"/>
    <w:qFormat/>
    <w:pPr>
      <w:numPr>
        <w:ilvl w:val="0"/>
        <w:numId w:val="1"/>
      </w:numPr>
      <w:tabs>
        <w:tab w:val="clear" w:pos="720"/>
        <w:tab w:val="left" w:pos="288" w:leader="none"/>
      </w:tabs>
      <w:spacing w:before="0" w:after="60"/>
    </w:pPr>
    <w:rPr/>
  </w:style>
  <w:style w:type="paragraph" w:styleId="SSBSummaryHeading">
    <w:name w:val="SSB_Summary_Heading"/>
    <w:basedOn w:val="SSBHeading"/>
    <w:next w:val="SSBSummary"/>
    <w:qFormat/>
    <w:pPr>
      <w:ind w:hanging="0" w:start="288" w:end="0"/>
    </w:pPr>
    <w:rPr/>
  </w:style>
  <w:style w:type="paragraph" w:styleId="SSBTableSpacer">
    <w:name w:val="SSB_TableSpacer"/>
    <w:basedOn w:val="Normal"/>
    <w:qFormat/>
    <w:pPr>
      <w:spacing w:lineRule="exact" w:line="120"/>
    </w:pPr>
    <w:rPr>
      <w:sz w:val="12"/>
    </w:rPr>
  </w:style>
  <w:style w:type="paragraph" w:styleId="SSBTableSpacerHidden">
    <w:name w:val="SSB_TableSpacer_Hidden"/>
    <w:basedOn w:val="SSBTableSpacer"/>
    <w:qFormat/>
    <w:pPr/>
    <w:rPr>
      <w:vanish/>
    </w:rPr>
  </w:style>
  <w:style w:type="paragraph" w:styleId="SSBTitle">
    <w:name w:val="SSB_Title"/>
    <w:basedOn w:val="SSBHeadline"/>
    <w:qFormat/>
    <w:pPr>
      <w:spacing w:before="120" w:after="0"/>
      <w:jc w:val="end"/>
      <w:outlineLvl w:val="9"/>
    </w:pPr>
    <w:rPr>
      <w:b w:val="false"/>
      <w:color w:val="000000"/>
      <w:sz w:val="28"/>
    </w:rPr>
  </w:style>
  <w:style w:type="paragraph" w:styleId="SSBDisclaimer">
    <w:name w:val="SSB_Disclaimer"/>
    <w:qFormat/>
    <w:pPr>
      <w:widowControl/>
      <w:bidi w:val="0"/>
    </w:pPr>
    <w:rPr>
      <w:rFonts w:ascii="Arial" w:hAnsi="Arial" w:eastAsia="Times New Roman" w:cs="Arial"/>
      <w:color w:val="000000"/>
      <w:sz w:val="16"/>
      <w:szCs w:val="20"/>
      <w:lang w:eastAsia="en-US" w:val="en-CA" w:bidi="hi-IN"/>
    </w:rPr>
  </w:style>
  <w:style w:type="paragraph" w:styleId="SSBDisclaimerFirstCall">
    <w:name w:val="SSB_Disclaimer_FirstCall"/>
    <w:basedOn w:val="SSBDisclaimer"/>
    <w:qFormat/>
    <w:pPr/>
    <w:rPr>
      <w:vanish/>
    </w:rPr>
  </w:style>
  <w:style w:type="paragraph" w:styleId="DocumentMap">
    <w:name w:val="Document Map"/>
    <w:basedOn w:val="Normal"/>
    <w:qFormat/>
    <w:pPr>
      <w:shd w:fill="000080" w:val="clear"/>
    </w:pPr>
    <w:rPr>
      <w:rFonts w:ascii="Tahoma" w:hAnsi="Tahoma" w:cs="Tahoma"/>
    </w:rPr>
  </w:style>
  <w:style w:type="paragraph" w:styleId="SSBHedgeHeading">
    <w:name w:val="SSB_Hedge_Heading"/>
    <w:basedOn w:val="SSBBodyText"/>
    <w:next w:val="SSBHedge"/>
    <w:qFormat/>
    <w:pPr>
      <w:spacing w:lineRule="exact" w:line="180" w:before="0" w:after="60"/>
      <w:outlineLvl w:val="1"/>
    </w:pPr>
    <w:rPr>
      <w:sz w:val="14"/>
      <w:lang w:val="en-GB"/>
    </w:rPr>
  </w:style>
  <w:style w:type="paragraph" w:styleId="SSBHedge">
    <w:name w:val="SSB_Hedge"/>
    <w:basedOn w:val="SSBData"/>
    <w:qFormat/>
    <w:pPr>
      <w:tabs>
        <w:tab w:val="clear" w:pos="3600"/>
      </w:tabs>
      <w:spacing w:lineRule="exact" w:line="170" w:before="0" w:after="40"/>
    </w:pPr>
    <w:rPr>
      <w:color w:val="000000"/>
      <w:sz w:val="14"/>
    </w:rPr>
  </w:style>
  <w:style w:type="paragraph" w:styleId="SSBWatermarkDraft">
    <w:name w:val="SSB_Watermark_Draft"/>
    <w:qFormat/>
    <w:pPr>
      <w:widowControl/>
      <w:bidi w:val="0"/>
    </w:pPr>
    <w:rPr>
      <w:rFonts w:ascii="Times New Roman" w:hAnsi="Times New Roman" w:eastAsia="Times New Roman" w:cs="Times New Roman"/>
      <w:color w:val="auto"/>
      <w:sz w:val="3276"/>
      <w:szCs w:val="20"/>
      <w:lang w:val="en-CA" w:eastAsia="zh-CN" w:bidi="hi-IN"/>
    </w:rPr>
  </w:style>
  <w:style w:type="paragraph" w:styleId="SSBWatermarkReject">
    <w:name w:val="SSB_Watermark_Reject"/>
    <w:qFormat/>
    <w:pPr>
      <w:widowControl/>
      <w:bidi w:val="0"/>
    </w:pPr>
    <w:rPr>
      <w:rFonts w:ascii="Times New Roman" w:hAnsi="Times New Roman" w:eastAsia="Times New Roman" w:cs="Times New Roman"/>
      <w:color w:val="auto"/>
      <w:sz w:val="3276"/>
      <w:szCs w:val="20"/>
      <w:lang w:val="en-CA" w:eastAsia="zh-CN"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wmf"/><Relationship Id="rId2" Type="http://schemas.openxmlformats.org/officeDocument/2006/relationships/image" Target="media/image3.wmf"/>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SPRY_note.dot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2001-04-26T09:11:00Z</dcterms:created>
  <dc:creator>Ray Niles</dc:creator>
  <dc:description/>
  <dc:language>en-CA</dc:language>
  <cp:lastModifiedBy>James Murtha</cp:lastModifiedBy>
  <cp:lastPrinted>2001-04-26T07:45:00Z</cp:lastPrinted>
  <dcterms:modified xsi:type="dcterms:W3CDTF">2001-04-26T09:35:00Z</dcterms:modified>
  <cp:revision>9</cp:revision>
  <dc:subject/>
  <dc:title/>
</cp:coreProperties>
</file>