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0" w:type="dxa"/>
        <w:jc w:val="start"/>
        <w:tblInd w:w="0" w:type="dxa"/>
        <w:tblLayout w:type="fixed"/>
        <w:tblCellMar>
          <w:top w:w="0" w:type="dxa"/>
          <w:start w:w="0" w:type="dxa"/>
          <w:bottom w:w="0" w:type="dxa"/>
          <w:end w:w="0" w:type="dxa"/>
        </w:tblCellMar>
      </w:tblPr>
      <w:tblGrid>
        <w:gridCol w:w="5760"/>
      </w:tblGrid>
      <w:tr>
        <w:trPr/>
        <w:tc>
          <w:tcPr>
            <w:tcW w:w="5760" w:type="dxa"/>
            <w:tcBorders/>
            <w:vAlign w:val="center"/>
          </w:tcPr>
          <w:p>
            <w:pPr>
              <w:pStyle w:val="Normal"/>
              <w:rPr/>
            </w:pPr>
            <w:r>
              <w:rPr>
                <w:u w:val="single"/>
              </w:rPr>
              <w:t>DN: IP/01/773</w:t>
            </w:r>
            <w:r>
              <w:rPr/>
              <w:t xml:space="preserve"> </w:t>
            </w:r>
            <w:r>
              <w:rPr>
                <w:u w:val="single"/>
              </w:rPr>
              <w:t>Date: 2001-06-05</w:t>
            </w:r>
          </w:p>
        </w:tc>
      </w:tr>
    </w:tbl>
    <w:p>
      <w:pPr>
        <w:pStyle w:val="DefinitionList"/>
        <w:spacing w:before="100" w:after="100"/>
        <w:ind w:start="0" w:end="0"/>
        <w:rPr/>
      </w:pPr>
      <w:r>
        <w:rPr/>
      </w:r>
    </w:p>
    <w:p>
      <w:pPr>
        <w:pStyle w:val="DefinitionList"/>
        <w:spacing w:before="100" w:after="100"/>
        <w:rPr/>
      </w:pPr>
      <w:r>
        <w:rPr>
          <w:b/>
        </w:rPr>
        <w:t>IP/01/773</w:t>
      </w:r>
      <w:r>
        <w:rPr/>
        <w:t xml:space="preserve"> </w:t>
      </w:r>
    </w:p>
    <w:p>
      <w:pPr>
        <w:pStyle w:val="DefinitionList"/>
        <w:spacing w:before="100" w:after="100"/>
        <w:rPr/>
      </w:pPr>
      <w:r>
        <w:rPr/>
        <w:t xml:space="preserve">Brussels, 01 June 2001 </w:t>
      </w:r>
    </w:p>
    <w:p>
      <w:pPr>
        <w:pStyle w:val="H3"/>
        <w:ind w:start="360" w:end="0"/>
        <w:rPr/>
      </w:pPr>
      <w:r>
        <w:rPr/>
        <w:t xml:space="preserve">Commission opens in-depth probe into the acquisition of joint control of Hidrocantábrico by Grupo Villar Mir and EnBW </w:t>
      </w:r>
    </w:p>
    <w:p>
      <w:pPr>
        <w:pStyle w:val="DefinitionList"/>
        <w:spacing w:before="100" w:after="100"/>
        <w:rPr>
          <w:b/>
          <w:i/>
          <w:i/>
        </w:rPr>
      </w:pPr>
      <w:r>
        <w:rPr>
          <w:b/>
          <w:i/>
        </w:rPr>
        <w:t xml:space="preserve">The European Commission has decided to undertake a full, second phase investigation of the proposed acquisition of joint control over Spanish utility Hidroeléctrica del Cantábrico S.A. (Hidrocantábrico) by Spanish Group Villar Mir and Energie Baden-Württemberg (EnBW). The Commission considers that the proposed operation raises serious doubts, as it could consolidate the existing collective dominant position in the Spanish electricity market. It will also examine the extent to which the dominant position of Electricité de France (EdF), which jointly controls EnBW, could be strengthened. The Spanish government has asked referral of the case, but as the Commission is starting an in-depth probe, there is no need to decide on the request. </w:t>
      </w:r>
    </w:p>
    <w:p>
      <w:pPr>
        <w:pStyle w:val="DefinitionList"/>
        <w:spacing w:before="100" w:after="100"/>
        <w:rPr/>
      </w:pPr>
      <w:r>
        <w:rPr/>
        <w:t xml:space="preserve">EnBW and Grupo Villar Mir in March launched a public bid though Ferroatlántica S.L. for Hidrocantábrico, Spain's fourth largest electricity company based in the northwest region of Asturias, Ferroatlántica belongs to Villar Mir but will be jointly controlled by EnBW after completion of the operation </w:t>
      </w:r>
    </w:p>
    <w:p>
      <w:pPr>
        <w:pStyle w:val="DefinitionList"/>
        <w:spacing w:before="100" w:after="100"/>
        <w:rPr/>
      </w:pPr>
      <w:r>
        <w:rPr/>
        <w:t xml:space="preserve">On the basis of the Commission's preliminary analysis, it can be feared that through the acquisition of a significant presence in the Spanish electricity generation market EDF might lose any incentive to increase interconnection capacity between both countries. This interconnection capacity is already rather limited, which isolates the Spanish electricity market and potentially prevents imports from other European countries. </w:t>
      </w:r>
    </w:p>
    <w:p>
      <w:pPr>
        <w:pStyle w:val="DefinitionList"/>
        <w:spacing w:before="100" w:after="100"/>
        <w:rPr/>
      </w:pPr>
      <w:r>
        <w:rPr/>
        <w:t xml:space="preserve">EDF is at present the main external competitor in the Spanish oligopolistic market and is the owner of the French grid and the of French interconnectors. Once it has a foothold in Spain, it might presumably be less interested in increasing competition in the Spanish market via imports and hence could prevent any increase in the capacity of French interconnectors with Spain. It is recalled that all imports of electricity in Spain (with the exception of Portugal) need to go through the French grid and the French interconnectors. </w:t>
      </w:r>
    </w:p>
    <w:p>
      <w:pPr>
        <w:pStyle w:val="DefinitionList"/>
        <w:spacing w:before="100" w:after="100"/>
        <w:rPr/>
      </w:pPr>
      <w:r>
        <w:rPr/>
        <w:t xml:space="preserve">The limitation of interconnection capacity would also act as an obstacle to potential exports from the Iberian Peninsula to France. "This decision shows that whenever there are reasons to intervene and enforce competition rules in the energy sector, as urged by the Stockholm Council, the Commission is ready to act promptly. EdF's incursion in Spain, through its partly-owned subsidiary EnBW, poses serious concerns which justify today's decision to start a full investigation," Competition Commissioner Mario Monti said. </w:t>
      </w:r>
    </w:p>
    <w:p>
      <w:pPr>
        <w:pStyle w:val="DefinitionList"/>
        <w:spacing w:before="100" w:after="100"/>
        <w:rPr/>
      </w:pPr>
      <w:r>
        <w:rPr/>
        <w:t xml:space="preserve">He added: "Separately, my services are also actively investigating whether EdF may have discriminated against third parties regarding access to the interconnector cables that carry electricity between France and Spain". </w:t>
      </w:r>
    </w:p>
    <w:p>
      <w:pPr>
        <w:pStyle w:val="DefinitionList"/>
        <w:spacing w:before="100" w:after="100"/>
        <w:rPr/>
      </w:pPr>
      <w:r>
        <w:rPr/>
        <w:t xml:space="preserve">The Commission has now a maximum of four months to reach a final decision. </w:t>
      </w:r>
    </w:p>
    <w:p>
      <w:pPr>
        <w:pStyle w:val="DefinitionList"/>
        <w:spacing w:before="100" w:after="100"/>
        <w:rPr/>
      </w:pPr>
      <w:r>
        <w:rPr/>
        <w:t xml:space="preserve">The Spanish authorities have requested the referral of the operation. According to article 9 of the Merger Regulation if the Commission starts a second-phase investigation it does not need to take a decision on the request at this stage of the procedure. </w:t>
      </w:r>
    </w:p>
    <w:p>
      <w:pPr>
        <w:pStyle w:val="DefinitionList"/>
        <w:spacing w:before="100" w:after="100"/>
        <w:rPr/>
      </w:pPr>
      <w:r>
        <w:rPr>
          <w:b/>
        </w:rPr>
        <w:t>Background</w:t>
      </w:r>
      <w:r>
        <w:rPr/>
        <w:t xml:space="preserve"> </w:t>
      </w:r>
    </w:p>
    <w:p>
      <w:pPr>
        <w:pStyle w:val="DefinitionList"/>
        <w:spacing w:before="100" w:after="100"/>
        <w:rPr/>
      </w:pPr>
      <w:r>
        <w:rPr/>
        <w:t xml:space="preserve">Hidrocantábrico is mainly active as a generator, distributor and supplier of electricity in Spain and as a distributor and supplier of gas and telecommunications in Asturias. </w:t>
      </w:r>
    </w:p>
    <w:p>
      <w:pPr>
        <w:pStyle w:val="DefinitionList"/>
        <w:spacing w:before="100" w:after="100"/>
        <w:rPr/>
      </w:pPr>
      <w:r>
        <w:rPr/>
        <w:t xml:space="preserve">Grupo Villar Mir, whose ultimate parent company is Inmobiliaria Espacio S.A., is a Spanish holding active in various sectors such as real estate, fertilizers, infrastructures services. </w:t>
      </w:r>
    </w:p>
    <w:p>
      <w:pPr>
        <w:pStyle w:val="DefinitionList"/>
        <w:spacing w:before="100" w:after="100"/>
        <w:rPr/>
      </w:pPr>
      <w:r>
        <w:rPr/>
        <w:t xml:space="preserve">EnBW is jointly controlled by EdF and Zweckverband Oberschwäbische Elektrizitätswerke (OEW), an association of nine public districts in the southwest of Germany. EnBW is active mainly in electricity generation, transmission, distribution, supply and trading of electricity mainly in the Southwest of Germany. Other business activities comprise the supply of gas and district heating, telecommunication, waste recycling and financial services. </w:t>
      </w:r>
    </w:p>
    <w:p>
      <w:pPr>
        <w:pStyle w:val="DefinitionList"/>
        <w:spacing w:before="100" w:after="100"/>
        <w:rPr/>
      </w:pPr>
      <w:r>
        <w:rPr/>
        <w:t xml:space="preserve">EDF is a wholly state-owned company whose principal activities are generation, transmission, distribution, and supply of electricity in France. It is the operator of the national transport grid and supplies electricity to Spain through its interconnectors. EDF has shareholdings in electricity companies in many European countries, inter alia, Austria, Belgium, Italy, Sweden, United Kingdom. Furthermore, EDF is active in the construction, operation, and maintenance of electrical plants and power networks and provides waste recycling and street lightening services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itigateFrutigerBold">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GB" w:eastAsia="zh-CN" w:bidi="hi-IN"/>
    </w:rPr>
  </w:style>
  <w:style w:type="paragraph" w:styleId="Heading1">
    <w:name w:val="heading 1"/>
    <w:next w:val="Normal"/>
    <w:qFormat/>
    <w:pPr>
      <w:keepNext w:val="true"/>
      <w:widowControl/>
      <w:numPr>
        <w:ilvl w:val="0"/>
        <w:numId w:val="1"/>
      </w:numPr>
      <w:bidi w:val="0"/>
      <w:spacing w:before="240" w:after="594"/>
      <w:outlineLvl w:val="0"/>
    </w:pPr>
    <w:rPr>
      <w:rFonts w:ascii="CitigateFrutigerBold" w:hAnsi="CitigateFrutigerBold" w:eastAsia="Times New Roman" w:cs="CitigateFrutigerBold"/>
      <w:color w:val="FFFFFF"/>
      <w:kern w:val="2"/>
      <w:sz w:val="28"/>
      <w:szCs w:val="20"/>
      <w:lang w:val="en-CA" w:eastAsia="zh-CN" w:bidi="hi-IN"/>
    </w:rPr>
  </w:style>
  <w:style w:type="paragraph" w:styleId="Heading2">
    <w:name w:val="heading 2"/>
    <w:next w:val="Normal"/>
    <w:qFormat/>
    <w:pPr>
      <w:keepNext w:val="true"/>
      <w:widowControl/>
      <w:numPr>
        <w:ilvl w:val="1"/>
        <w:numId w:val="1"/>
      </w:numPr>
      <w:bidi w:val="0"/>
      <w:spacing w:before="120" w:after="60"/>
      <w:outlineLvl w:val="1"/>
    </w:pPr>
    <w:rPr>
      <w:rFonts w:ascii="CitigateFrutigerBold" w:hAnsi="CitigateFrutigerBold" w:eastAsia="Times New Roman" w:cs="CitigateFrutigerBold"/>
      <w:color w:val="800000"/>
      <w:sz w:val="24"/>
      <w:szCs w:val="20"/>
      <w:lang w:val="en-CA" w:eastAsia="zh-CN" w:bidi="hi-IN"/>
    </w:rPr>
  </w:style>
  <w:style w:type="paragraph" w:styleId="Heading3">
    <w:name w:val="heading 3"/>
    <w:basedOn w:val="Normal"/>
    <w:next w:val="Normal"/>
    <w:qFormat/>
    <w:pPr>
      <w:keepNext w:val="true"/>
      <w:numPr>
        <w:ilvl w:val="2"/>
        <w:numId w:val="1"/>
      </w:numPr>
      <w:spacing w:before="120" w:after="60"/>
      <w:outlineLvl w:val="2"/>
    </w:pPr>
    <w:rPr>
      <w:b/>
      <w:i/>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ind w:hanging="0" w:start="360" w:end="0"/>
    </w:pPr>
    <w:rPr>
      <w:sz w:val="24"/>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2001-06-05T11:24:00Z</dcterms:created>
  <dc:creator>Amaia Betelu Bazo</dc:creator>
  <dc:description/>
  <dc:language>en-CA</dc:language>
  <cp:lastModifiedBy>Amaia Betelu Bazo</cp:lastModifiedBy>
  <dcterms:modified xsi:type="dcterms:W3CDTF">2001-06-05T11:25:00Z</dcterms:modified>
  <cp:revision>1</cp:revision>
  <dc:subject/>
  <dc:title>DN: IP/01/773 Date: 2001-06-05</dc:title>
</cp:coreProperties>
</file>