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  <w:b/>
        </w:rPr>
        <w:t>ENRON $444M OFFER FOR MG</w:t>
      </w:r>
      <w:r>
        <w:rPr>
          <w:rFonts w:cs="Arial; Helvetica" w:ascii="Arial; Helvetica" w:hAnsi="Arial; Helvetica"/>
        </w:rPr>
        <w:t xml:space="preserve"> </w:t>
        <w:br/>
      </w:r>
      <w:r>
        <w:rPr>
          <w:rFonts w:cs="Arial; Helvetica" w:ascii="Arial; Helvetica" w:hAnsi="Arial; Helvetica"/>
          <w:sz w:val="18"/>
        </w:rPr>
        <w:t xml:space="preserve"> May 23, 2000</w:t>
        <w:br/>
      </w:r>
    </w:p>
    <w:p>
      <w:pPr>
        <w:pStyle w:val="Normal"/>
        <w:rPr/>
      </w:pPr>
      <w:r>
        <w:rPr>
          <w:rFonts w:cs="Arial; Helvetica" w:ascii="Arial; Helvetica" w:hAnsi="Arial; Helvetica"/>
          <w:color w:val="FF0000"/>
        </w:rPr>
        <w:t>Enron</w:t>
      </w:r>
      <w:r>
        <w:rPr>
          <w:rFonts w:cs="Arial; Helvetica" w:ascii="Arial; Helvetica" w:hAnsi="Arial; Helvetica"/>
        </w:rPr>
        <w:t xml:space="preserve">, the world's largest natural gas and electricity trader, on Monday signalled a move into international metals markets with a GBP300m ($444m) agreed bid for MG, the London-based trader.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The US group has repositioned itself from a heavily asset-based energy utility and pipelines business into a diverse online marketmaker and commodity trader.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Non-ferrous metals traders, generating annual world sales of $120bn, have been slow to develop internet-based exchanges although plans for several broadly-based electronic markets are being developed, including by MG.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The US group plans to develop metals trading through its EnronOnline internet-based trading service. It does not believe this will conflict with MG's plans to develop an internet-based exchange in partnership with Internet Capital group and Safeguard International Fund.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Commodities traded on EnronOnline include pulp and paper, plastics, telecommunications capacity and financial derivatives as well as electricity, gas, oil and coal products.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The internet service has seen more than 110,000 contracts with a combined value of more than $45bn since it was launched in November.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The opportunity to acquire MG arose after MG Technologies, its German-based parent, formerly Metallgesellschaft, decided last year on a public offering of the metals trading arm. </w:t>
      </w:r>
    </w:p>
    <w:p>
      <w:pPr>
        <w:pStyle w:val="Normal"/>
        <w:rPr/>
      </w:pPr>
      <w:r>
        <w:rPr>
          <w:rFonts w:cs="Arial; Helvetica" w:ascii="Arial; Helvetica" w:hAnsi="Arial; Helvetica"/>
        </w:rPr>
        <w:t xml:space="preserve">The German group, which owns 41.8 per cent of MG, has irrevocably accepted </w:t>
      </w:r>
      <w:r>
        <w:rPr>
          <w:rFonts w:cs="Arial; Helvetica" w:ascii="Arial; Helvetica" w:hAnsi="Arial; Helvetica"/>
          <w:color w:val="FF0000"/>
        </w:rPr>
        <w:t>Enron</w:t>
      </w:r>
      <w:r>
        <w:rPr>
          <w:rFonts w:cs="Arial; Helvetica" w:ascii="Arial; Helvetica" w:hAnsi="Arial; Helvetica"/>
        </w:rPr>
        <w:t xml:space="preserve">'s cash offer of 300p a share compared with an initial offer price of 205p in September.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The shares, which peaked at 480p in February after MG announced its internet plans, ended 23-1/2p up at 301p.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MG is one of the world's largest independent physical traders in non-ferrous metals, particularly copper, in which it is estimated to have about a third of the global market. It also offers financial services, acting as broker and marketmaker, and is a member of the London Metals Exchange open-outcry trading ring, with an estimated market share of 15 per cent.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The LME is planning a screen-based system for after-hours trading. Spectron, a London-based commodities broker, has also developed an electronic system for trading LME contracts but has yet to launch the service.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MG on Monday reported pre-tax profits for the six months to March 31 had fallen from $29.8m to $21.1m. </w:t>
      </w:r>
    </w:p>
    <w:p>
      <w:pPr>
        <w:pStyle w:val="Normal"/>
        <w:rPr/>
      </w:pPr>
      <w:r>
        <w:rPr>
          <w:rFonts w:cs="Arial; Helvetica" w:ascii="Arial; Helvetica" w:hAnsi="Arial; Helvetica"/>
          <w:color w:val="FF0000"/>
        </w:rPr>
        <w:t>Enron</w:t>
      </w:r>
      <w:r>
        <w:rPr>
          <w:rFonts w:cs="Arial; Helvetica" w:ascii="Arial; Helvetica" w:hAnsi="Arial; Helvetica"/>
        </w:rPr>
        <w:t xml:space="preserve"> is advised by Credit Suisse First Boston and MG by Cazenove.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Copyright © Financial Times group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</w:r>
    </w:p>
    <w:sectPr>
      <w:type w:val="nextPage"/>
      <w:pgSz w:w="11906" w:h="16838"/>
      <w:pgMar w:left="1273" w:right="1273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 Helvetica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2000-11-09T12:42:00Z</dcterms:created>
  <dc:creator>cwright</dc:creator>
  <dc:description/>
  <dc:language>en-CA</dc:language>
  <cp:lastModifiedBy>cwright</cp:lastModifiedBy>
  <dcterms:modified xsi:type="dcterms:W3CDTF">2000-11-09T12:44:00Z</dcterms:modified>
  <cp:revision>2</cp:revision>
  <dc:subject/>
  <dc:title>ENRON $444M OFFER FOR MG </dc:title>
</cp:coreProperties>
</file>