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For Immediate Release</w:t>
      </w:r>
      <w:r>
        <w:rPr/>
        <w:tab/>
        <w:tab/>
        <w:tab/>
        <w:tab/>
        <w:tab/>
        <w:tab/>
        <w:tab/>
        <w:tab/>
        <w:t xml:space="preserve">       </w:t>
      </w:r>
      <w:r>
        <w:rPr>
          <w:b/>
        </w:rPr>
        <w:t>Contacts:</w:t>
      </w:r>
    </w:p>
    <w:p>
      <w:pPr>
        <w:pStyle w:val="Normal"/>
        <w:rPr/>
      </w:pPr>
      <w:r>
        <w:rPr/>
        <w:t>June 30, 2000</w:t>
        <w:tab/>
        <w:tab/>
        <w:tab/>
        <w:tab/>
        <w:tab/>
        <w:tab/>
        <w:tab/>
        <w:tab/>
        <w:tab/>
        <w:t xml:space="preserve">        </w:t>
        <w:tab/>
        <w:t xml:space="preserve">   </w:t>
      </w:r>
      <w:r>
        <w:rPr>
          <w:u w:val="single"/>
        </w:rPr>
        <w:t>News Media</w:t>
      </w:r>
    </w:p>
    <w:p>
      <w:pPr>
        <w:pStyle w:val="BodyText"/>
        <w:rPr/>
      </w:pPr>
      <w:r>
        <w:rPr/>
        <w:tab/>
        <w:tab/>
        <w:tab/>
        <w:tab/>
        <w:tab/>
        <w:tab/>
        <w:tab/>
        <w:tab/>
        <w:t xml:space="preserve">         R.A. Rankin Jr. (703) 561-6044</w:t>
        <w:tab/>
        <w:tab/>
        <w:t>Michael J. McGarry (703) 561-6063</w:t>
      </w:r>
    </w:p>
    <w:p>
      <w:pPr>
        <w:pStyle w:val="Normal"/>
        <w:ind w:firstLine="720" w:end="0"/>
        <w:jc w:val="end"/>
        <w:rPr/>
      </w:pPr>
      <w:r>
        <w:rPr/>
        <w:tab/>
        <w:tab/>
        <w:tab/>
        <w:tab/>
        <w:tab/>
        <w:tab/>
        <w:tab/>
        <w:tab/>
      </w:r>
      <w:r>
        <w:rPr>
          <w:u w:val="single"/>
        </w:rPr>
        <w:t>Financial Community</w:t>
      </w:r>
    </w:p>
    <w:p>
      <w:pPr>
        <w:pStyle w:val="BodyTextIndent"/>
        <w:jc w:val="end"/>
        <w:rPr/>
      </w:pPr>
      <w:r>
        <w:rPr/>
        <w:tab/>
        <w:tab/>
        <w:tab/>
        <w:tab/>
        <w:tab/>
        <w:tab/>
        <w:tab/>
        <w:t xml:space="preserve">  Thomas L. Hughes (703) 561-6001</w:t>
      </w:r>
    </w:p>
    <w:p>
      <w:pPr>
        <w:pStyle w:val="Normal"/>
        <w:rPr/>
      </w:pPr>
      <w:r>
        <w:rPr/>
      </w:r>
    </w:p>
    <w:p>
      <w:pPr>
        <w:pStyle w:val="Normal"/>
        <w:rPr/>
      </w:pPr>
      <w:r>
        <w:rPr/>
      </w:r>
    </w:p>
    <w:p>
      <w:pPr>
        <w:pStyle w:val="Normal"/>
        <w:rPr>
          <w:b/>
        </w:rPr>
      </w:pPr>
      <w:r>
        <w:rPr>
          <w:b/>
        </w:rPr>
        <w:t>Columbia Energy Group To Sell Retail Energy Marketing Operations,</w:t>
      </w:r>
    </w:p>
    <w:p>
      <w:pPr>
        <w:pStyle w:val="Normal"/>
        <w:rPr>
          <w:b/>
        </w:rPr>
      </w:pPr>
      <w:r>
        <w:rPr>
          <w:b/>
        </w:rPr>
        <w:t xml:space="preserve">Will Maintain Equity Interest </w:t>
      </w:r>
    </w:p>
    <w:p>
      <w:pPr>
        <w:pStyle w:val="Normal"/>
        <w:rPr>
          <w:b/>
        </w:rPr>
      </w:pPr>
      <w:r>
        <w:rPr>
          <w:b/>
        </w:rPr>
      </w:r>
    </w:p>
    <w:p>
      <w:pPr>
        <w:pStyle w:val="Normal"/>
        <w:rPr/>
      </w:pPr>
      <w:r>
        <w:rPr/>
        <w:tab/>
        <w:t>HERNDON, Va., June 30, 2000 – Columbia Energy Group announced today that it has entered into a definitive agreement to sell its retail energy mass marketing operations to</w:t>
      </w:r>
    </w:p>
    <w:p>
      <w:pPr>
        <w:pStyle w:val="Normal"/>
        <w:rPr/>
      </w:pPr>
      <w:r>
        <w:rPr/>
        <w:t>The New Power Company.  The New Power Company was publicly launched on May 16, 2000</w:t>
      </w:r>
      <w:r>
        <w:rPr>
          <w:color w:val="FF0000"/>
        </w:rPr>
        <w:t xml:space="preserve"> </w:t>
      </w:r>
      <w:r>
        <w:rPr/>
        <w:t>as a national residential and small business energy provider serving markets where natural gas and electricity are deregulated.   Strategic partners and investors in The New Power Company include Enron Corp., IBM and America Online, Inc.  The sale price was not disclosed.</w:t>
      </w:r>
    </w:p>
    <w:p>
      <w:pPr>
        <w:pStyle w:val="Normal"/>
        <w:rPr/>
      </w:pPr>
      <w:r>
        <w:rPr/>
      </w:r>
    </w:p>
    <w:p>
      <w:pPr>
        <w:pStyle w:val="BodyTextIndent"/>
        <w:spacing w:lineRule="auto" w:line="240"/>
        <w:rPr/>
      </w:pPr>
      <w:r>
        <w:rPr/>
        <w:t>Under the terms of the agreement, The New Power Company will acquire Columbia’s retail gas and power, mass marketing business, and Columbia will maintain a small, minority equity interest in the business.  Columbia’s mass marketing operations currently serve approximately 300,000 retail energy customers in eight states.   The transaction is expected to be completed by late summer or early fall.</w:t>
      </w:r>
    </w:p>
    <w:p>
      <w:pPr>
        <w:pStyle w:val="Normal"/>
        <w:ind w:firstLine="720" w:end="0"/>
        <w:rPr/>
      </w:pPr>
      <w:r>
        <w:rPr/>
      </w:r>
    </w:p>
    <w:p>
      <w:pPr>
        <w:pStyle w:val="Normal"/>
        <w:ind w:firstLine="720" w:end="0"/>
        <w:rPr/>
      </w:pPr>
      <w:r>
        <w:rPr/>
        <w:t>Oliver G. Richard III, president, chairman and CEO of Columbia Energy Group, said that although the company is selling the non-regulated retail marketing operations, reflecting its decision to concentrate on other aspects of the energy business, Columbia remains focused on providing customer choice programs for residential and small business customers in its distribution territories.</w:t>
      </w:r>
    </w:p>
    <w:p>
      <w:pPr>
        <w:pStyle w:val="Normal"/>
        <w:ind w:firstLine="720" w:end="0"/>
        <w:rPr/>
      </w:pPr>
      <w:r>
        <w:rPr/>
      </w:r>
    </w:p>
    <w:p>
      <w:pPr>
        <w:pStyle w:val="Normal"/>
        <w:rPr/>
      </w:pPr>
      <w:r>
        <w:rPr/>
        <w:tab/>
        <w:t>Since 1995, Columbia’s local natural gas distribution companies have worked in a collaborative process with regulators and consumer groups to create customer choice programs.   Of Columbia’s 2.1 million distribution customers, customer choice programs are currently available to nearly 1.7 million, with nearly 640,000 customers enrolled.  By the fall of 2000, customer choice will be available to some 1.9 million customers in all five of Columbia’s local distribution states.</w:t>
      </w:r>
    </w:p>
    <w:p>
      <w:pPr>
        <w:pStyle w:val="Normal"/>
        <w:rPr/>
      </w:pPr>
      <w:r>
        <w:rPr/>
      </w:r>
    </w:p>
    <w:p>
      <w:pPr>
        <w:pStyle w:val="Normal"/>
        <w:jc w:val="center"/>
        <w:rPr/>
      </w:pPr>
      <w:r>
        <w:rPr/>
        <w:t>- more -</w:t>
      </w:r>
    </w:p>
    <w:p>
      <w:pPr>
        <w:sectPr>
          <w:type w:val="nextPage"/>
          <w:pgSz w:w="12240" w:h="15840"/>
          <w:pgMar w:left="1440" w:right="1440" w:gutter="0" w:header="0" w:top="2520" w:footer="0" w:bottom="1440"/>
          <w:pgNumType w:fmt="decimal"/>
          <w:formProt w:val="false"/>
          <w:textDirection w:val="lrTb"/>
          <w:docGrid w:type="default" w:linePitch="360" w:charSpace="0"/>
        </w:sectPr>
        <w:pStyle w:val="Normal"/>
        <w:rPr/>
      </w:pPr>
      <w:r>
        <w:rPr/>
        <w:t xml:space="preserve"> </w:t>
      </w:r>
      <w:r>
        <w:rPr/>
        <w:tab/>
      </w:r>
    </w:p>
    <w:p>
      <w:pPr>
        <w:pStyle w:val="Normal"/>
        <w:ind w:firstLine="720" w:end="0"/>
        <w:rPr/>
      </w:pPr>
      <w:r>
        <w:rPr/>
        <w:t>“</w:t>
      </w:r>
      <w:r>
        <w:rPr/>
        <w:t xml:space="preserve">Columbia is as committed as ever to promoting Energy Economic Democracy and providing consumers with the ability to choose their energy suppliers,” said Oliver G. Richard III, president, chairman and CEO of Columbia Energy Group.  “Our local distribution companies have been leaders in pioneering customer choice programs and will continue to promote and support the cost savings and other advantages consumers receive in an open, competitive energy marketplace.”   He said that in Ohio, where Columbia has its largest local distribution operation, customer savings since the choice program’s inception are estimated at about $56 million. </w:t>
      </w:r>
    </w:p>
    <w:p>
      <w:pPr>
        <w:pStyle w:val="Normal"/>
        <w:rPr/>
      </w:pPr>
      <w:r>
        <w:rPr/>
      </w:r>
    </w:p>
    <w:p>
      <w:pPr>
        <w:pStyle w:val="Normal"/>
        <w:rPr/>
      </w:pPr>
      <w:r>
        <w:rPr/>
        <w:tab/>
        <w:t>Richard added that the deal with The New Power Company brings a new and dynamic participant into the retail energy market.   He also noted that it is in line with Columbia’s historic interest in establishing strategic alliances to offer innovative approaches to retail energy products and related customer services.</w:t>
      </w:r>
    </w:p>
    <w:p>
      <w:pPr>
        <w:pStyle w:val="Normal"/>
        <w:rPr/>
      </w:pPr>
      <w:r>
        <w:rPr/>
      </w:r>
    </w:p>
    <w:p>
      <w:pPr>
        <w:pStyle w:val="Normal"/>
        <w:rPr/>
      </w:pPr>
      <w:r>
        <w:rPr/>
        <w:tab/>
        <w:t>"We see the New Power Company and its alliances with AOL, IBM and others as an opportunity to greatly enhance the quality and scope of services to residential and small business customers," he said.</w:t>
      </w:r>
    </w:p>
    <w:p>
      <w:pPr>
        <w:pStyle w:val="Normal"/>
        <w:rPr/>
      </w:pPr>
      <w:r>
        <w:rPr/>
      </w:r>
    </w:p>
    <w:p>
      <w:pPr>
        <w:pStyle w:val="Normal"/>
        <w:rPr/>
      </w:pPr>
      <w:r>
        <w:rPr/>
        <w:tab/>
        <w:t>H. Eugene Lockhart, president and chief executive officer of The New Power Company, said the acquisition was part of a strategic effort to introduce customers to the company’s unique service and product offerings.</w:t>
      </w:r>
    </w:p>
    <w:p>
      <w:pPr>
        <w:pStyle w:val="Normal"/>
        <w:rPr/>
      </w:pPr>
      <w:r>
        <w:rPr/>
      </w:r>
    </w:p>
    <w:p>
      <w:pPr>
        <w:pStyle w:val="Normal"/>
        <w:ind w:firstLine="720" w:end="0"/>
        <w:rPr/>
      </w:pPr>
      <w:r>
        <w:rPr/>
        <w:t>“</w:t>
      </w:r>
      <w:r>
        <w:rPr/>
        <w:t>We felt this acquisition would provide access to a sizable customer base and would leverage our business model of offering best-in-class, nationally-recognized products and services to home owners and small businesses in deregulated markets,” Lockhart said.</w:t>
      </w:r>
    </w:p>
    <w:p>
      <w:pPr>
        <w:pStyle w:val="Normal"/>
        <w:rPr/>
      </w:pPr>
      <w:r>
        <w:rPr/>
      </w:r>
    </w:p>
    <w:p>
      <w:pPr>
        <w:pStyle w:val="Normal"/>
        <w:ind w:firstLine="720" w:end="0"/>
        <w:rPr/>
      </w:pPr>
      <w:r>
        <w:rPr>
          <w:rFonts w:cs="Tms Rmn;Times New Roman" w:ascii="Tms Rmn;Times New Roman" w:hAnsi="Tms Rmn;Times New Roman"/>
          <w:color w:val="000000"/>
          <w:lang w:eastAsia="en-US"/>
        </w:rPr>
        <w:t xml:space="preserve">Columbia Energy Group, based in Herndon, Va., is one of the nation's leading energy services companies, with assets of approximately $7 billion.  Its operating companies currently engage in nearly all phases of the natural gas business, including exploration and production, transmission, storage and distribution, as well as retail energy marketing, propane and petroleum product sales, and electric power generation.   Information about Columbia Energy Group (NYSE:CG) is available on the Internet at </w:t>
      </w:r>
      <w:hyperlink r:id="rId2">
        <w:r>
          <w:rPr>
            <w:rStyle w:val="Hyperlink"/>
          </w:rPr>
          <w:t>www.columbiaenergygroup.com</w:t>
        </w:r>
      </w:hyperlink>
      <w:r>
        <w:rPr>
          <w:rFonts w:cs="Tms Rmn;Times New Roman" w:ascii="Tms Rmn;Times New Roman" w:hAnsi="Tms Rmn;Times New Roman"/>
          <w:color w:val="000000"/>
          <w:lang w:eastAsia="en-US"/>
        </w:rPr>
        <w:t>.</w:t>
      </w:r>
    </w:p>
    <w:p>
      <w:pPr>
        <w:pStyle w:val="Normal"/>
        <w:ind w:firstLine="720" w:end="0"/>
        <w:rPr>
          <w:rFonts w:ascii="Tms Rmn;Times New Roman" w:hAnsi="Tms Rmn;Times New Roman" w:cs="Tms Rmn;Times New Roman"/>
          <w:color w:val="000000"/>
          <w:lang w:eastAsia="en-US"/>
        </w:rPr>
      </w:pPr>
      <w:r>
        <w:rPr>
          <w:rFonts w:cs="Tms Rmn;Times New Roman" w:ascii="Tms Rmn;Times New Roman" w:hAnsi="Tms Rmn;Times New Roman"/>
          <w:color w:val="000000"/>
          <w:lang w:eastAsia="en-US"/>
        </w:rPr>
      </w:r>
    </w:p>
    <w:p>
      <w:pPr>
        <w:pStyle w:val="Normal"/>
        <w:ind w:firstLine="720" w:end="0"/>
        <w:rPr/>
      </w:pPr>
      <w:r>
        <w:rPr>
          <w:rFonts w:cs="Tms Rmn;Times New Roman" w:ascii="Tms Rmn;Times New Roman" w:hAnsi="Tms Rmn;Times New Roman"/>
          <w:color w:val="000000"/>
          <w:lang w:eastAsia="en-US"/>
        </w:rPr>
        <w:t xml:space="preserve">More information on The New Power Company is available on the Internet at </w:t>
      </w:r>
      <w:hyperlink r:id="rId3">
        <w:r>
          <w:rPr>
            <w:rStyle w:val="Hyperlink"/>
          </w:rPr>
          <w:t>www.newpowercompany.com</w:t>
        </w:r>
      </w:hyperlink>
      <w:r>
        <w:rPr>
          <w:rFonts w:cs="Tms Rmn;Times New Roman" w:ascii="Tms Rmn;Times New Roman" w:hAnsi="Tms Rmn;Times New Roman"/>
          <w:color w:val="000000"/>
          <w:lang w:eastAsia="en-US"/>
        </w:rPr>
        <w:t>.</w:t>
      </w:r>
    </w:p>
    <w:p>
      <w:pPr>
        <w:pStyle w:val="Normal"/>
        <w:ind w:firstLine="720" w:end="0"/>
        <w:rPr>
          <w:rFonts w:ascii="Tms Rmn;Times New Roman" w:hAnsi="Tms Rmn;Times New Roman" w:cs="Tms Rmn;Times New Roman"/>
          <w:b/>
          <w:color w:val="000000"/>
          <w:lang w:eastAsia="en-US"/>
        </w:rPr>
      </w:pPr>
      <w:r>
        <w:rPr>
          <w:rFonts w:cs="Tms Rmn;Times New Roman" w:ascii="Tms Rmn;Times New Roman" w:hAnsi="Tms Rmn;Times New Roman"/>
          <w:b/>
          <w:color w:val="000000"/>
          <w:lang w:eastAsia="en-US"/>
        </w:rPr>
      </w:r>
    </w:p>
    <w:p>
      <w:pPr>
        <w:pStyle w:val="Normal"/>
        <w:rPr>
          <w:i/>
          <w:i/>
        </w:rPr>
      </w:pPr>
      <w:r>
        <w:rPr>
          <w:i/>
        </w:rPr>
        <w:t xml:space="preserve">This press release contains "forward looking statements" within the meaning of the Federal securities laws, including statements concerning, on a consolidated, segment or subsidiary basis, Columbia’s plans, objectives and expected performance. There can be no assurance that actual results will not differ materially due to various factors, many of which are beyond the control of Columbia, including, but not limited to, competition, the regulatory approval process, weather, supply and demand for natural gas, electricity and propane, changes in general economic conditions, and timely consummation of proposed dispositions. </w:t>
      </w:r>
    </w:p>
    <w:p>
      <w:pPr>
        <w:pStyle w:val="Normal"/>
        <w:rPr>
          <w:i/>
          <w:i/>
        </w:rPr>
      </w:pPr>
      <w:r>
        <w:rPr>
          <w:i/>
        </w:rPr>
      </w:r>
    </w:p>
    <w:p>
      <w:pPr>
        <w:pStyle w:val="Normal"/>
        <w:rPr>
          <w:i/>
          <w:i/>
          <w:sz w:val="20"/>
        </w:rPr>
      </w:pPr>
      <w:r>
        <w:rPr>
          <w:i/>
          <w:sz w:val="20"/>
        </w:rPr>
      </w:r>
    </w:p>
    <w:p>
      <w:pPr>
        <w:pStyle w:val="Normal"/>
        <w:jc w:val="center"/>
        <w:rPr>
          <w:i/>
          <w:i/>
        </w:rPr>
      </w:pPr>
      <w:r>
        <w:rPr>
          <w:i/>
        </w:rPr>
        <w:t># # #</w:t>
      </w:r>
    </w:p>
    <w:p>
      <w:pPr>
        <w:pStyle w:val="Normal"/>
        <w:rPr>
          <w:i/>
          <w:i/>
        </w:rPr>
      </w:pPr>
      <w:r>
        <w:rPr>
          <w:i/>
        </w:rP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end"/>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olumbiaenergygroup.com/" TargetMode="External"/><Relationship Id="rId3" Type="http://schemas.openxmlformats.org/officeDocument/2006/relationships/hyperlink" Target="http://www.newpowercompany.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2000-06-30T16:24:00Z</dcterms:created>
  <dc:creator>vanstar</dc:creator>
  <dc:description/>
  <dc:language>en-CA</dc:language>
  <cp:lastModifiedBy>Jeffrey P. Porter</cp:lastModifiedBy>
  <cp:lastPrinted>2000-06-30T13:28:00Z</cp:lastPrinted>
  <dcterms:modified xsi:type="dcterms:W3CDTF">2000-06-30T16:24:00Z</dcterms:modified>
  <cp:revision>2</cp:revision>
  <dc:subject/>
  <dc:title>PRIVELEDGED AND CONFIDENTIAL</dc:title>
</cp:coreProperties>
</file>