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2"/>
        </w:rPr>
      </w:pPr>
      <w:r>
        <w:rPr>
          <w:sz w:val="22"/>
        </w:rPr>
        <w:t xml:space="preserve">This redlined draft, generated by CompareRite (TM) - The Instant Redliner, shows the differences between - </w:t>
      </w:r>
    </w:p>
    <w:p>
      <w:pPr>
        <w:pStyle w:val="Normal"/>
        <w:bidi w:val="0"/>
        <w:ind w:hanging="0" w:start="0" w:end="0"/>
        <w:jc w:val="start"/>
        <w:rPr>
          <w:sz w:val="22"/>
        </w:rPr>
      </w:pPr>
      <w:r>
        <w:rPr>
          <w:sz w:val="22"/>
        </w:rPr>
        <w:t>original document   : O:\CORPORATE\LEGAL\CORP\EICKENROHT\M&amp;A\RESCO\ENRON RESTRUCTURE\COLLATERAL SUBSTITUTION\PRESSREL-V1.DOC</w:t>
      </w:r>
    </w:p>
    <w:p>
      <w:pPr>
        <w:pStyle w:val="Normal"/>
        <w:bidi w:val="0"/>
        <w:ind w:hanging="0" w:start="0" w:end="0"/>
        <w:jc w:val="start"/>
        <w:rPr>
          <w:sz w:val="22"/>
        </w:rPr>
      </w:pPr>
      <w:r>
        <w:rPr>
          <w:sz w:val="22"/>
        </w:rPr>
        <w:t>and revised document: O:\CORPORATE\LEGAL\CORP\EICKENROHT\M&amp;A\RESCO\ENRON RESTRUCTURE\COLLATERAL SUBSTITUTION\PRESSREL-V2.DOC</w:t>
      </w:r>
    </w:p>
    <w:p>
      <w:pPr>
        <w:pStyle w:val="Normal"/>
        <w:bidi w:val="0"/>
        <w:ind w:hanging="0" w:start="0" w:end="0"/>
        <w:jc w:val="start"/>
        <w:rPr>
          <w:sz w:val="22"/>
        </w:rPr>
      </w:pPr>
      <w:r>
        <w:rPr>
          <w:sz w:val="22"/>
        </w:rPr>
      </w:r>
    </w:p>
    <w:p>
      <w:pPr>
        <w:pStyle w:val="Normal"/>
        <w:bidi w:val="0"/>
        <w:ind w:hanging="0" w:start="0" w:end="0"/>
        <w:jc w:val="start"/>
        <w:rPr>
          <w:sz w:val="22"/>
        </w:rPr>
      </w:pPr>
      <w:r>
        <w:rPr>
          <w:sz w:val="22"/>
        </w:rPr>
        <w:t>CompareRite found   25 change(s) in the text</w:t>
      </w:r>
    </w:p>
    <w:p>
      <w:pPr>
        <w:pStyle w:val="Normal"/>
        <w:bidi w:val="0"/>
        <w:ind w:hanging="0" w:start="0" w:end="0"/>
        <w:jc w:val="start"/>
        <w:rPr>
          <w:sz w:val="22"/>
        </w:rPr>
      </w:pPr>
      <w:r>
        <w:rPr>
          <w:sz w:val="22"/>
        </w:rPr>
      </w:r>
    </w:p>
    <w:p>
      <w:pPr>
        <w:pStyle w:val="Normal"/>
        <w:bidi w:val="0"/>
        <w:ind w:hanging="0" w:start="0" w:end="0"/>
        <w:jc w:val="start"/>
        <w:rPr>
          <w:sz w:val="22"/>
        </w:rPr>
      </w:pPr>
      <w:r>
        <w:rPr>
          <w:sz w:val="22"/>
        </w:rPr>
        <w:t>Deletions appear as Overstrike text surrounded by {}</w:t>
      </w:r>
    </w:p>
    <w:p>
      <w:pPr>
        <w:pStyle w:val="Normal"/>
        <w:bidi w:val="0"/>
        <w:ind w:hanging="0" w:start="0" w:end="0"/>
        <w:jc w:val="start"/>
        <w:rPr>
          <w:sz w:val="22"/>
        </w:rPr>
      </w:pPr>
      <w:r>
        <w:rPr>
          <w:sz w:val="22"/>
        </w:rPr>
        <w:t>Additions appear as Bold text surrounded by []</w:t>
      </w:r>
      <w:r>
        <w:br w:type="page"/>
      </w:r>
    </w:p>
    <w:p>
      <w:pPr>
        <w:pStyle w:val="Normal"/>
        <w:widowControl/>
        <w:bidi w:val="0"/>
        <w:spacing w:before="120" w:after="0"/>
        <w:ind w:hanging="0" w:start="0" w:end="0"/>
        <w:jc w:val="center"/>
        <w:rPr>
          <w:b/>
          <w:sz w:val="22"/>
        </w:rPr>
      </w:pPr>
      <w:r>
        <w:rPr>
          <w:b/>
          <w:sz w:val="22"/>
        </w:rPr>
        <w:t xml:space="preserve">THE NEW POWER COMPANY REVISES </w:t>
      </w:r>
    </w:p>
    <w:p>
      <w:pPr>
        <w:pStyle w:val="Normal"/>
        <w:widowControl/>
        <w:bidi w:val="0"/>
        <w:ind w:hanging="0" w:start="0" w:end="0"/>
        <w:jc w:val="center"/>
        <w:rPr>
          <w:b/>
          <w:sz w:val="22"/>
        </w:rPr>
      </w:pPr>
      <w:r>
        <w:rPr>
          <w:b/>
          <w:strike/>
          <w:sz w:val="22"/>
        </w:rPr>
        <w:t>{COMMODITY SECURITY}</w:t>
      </w:r>
      <w:r>
        <w:rPr>
          <w:b/>
          <w:sz w:val="22"/>
        </w:rPr>
        <w:t xml:space="preserve"> [ITS NETTING] AGREEMENT WITH ENRON</w:t>
      </w:r>
    </w:p>
    <w:p>
      <w:pPr>
        <w:pStyle w:val="BodyText3"/>
        <w:widowControl/>
        <w:bidi w:val="0"/>
        <w:spacing w:before="360" w:after="0"/>
        <w:jc w:val="start"/>
        <w:rPr>
          <w:rFonts w:ascii="Times New Roman" w:hAnsi="Times New Roman"/>
          <w:sz w:val="22"/>
        </w:rPr>
      </w:pPr>
      <w:r>
        <w:rPr>
          <w:sz w:val="22"/>
        </w:rPr>
        <w:t xml:space="preserve">PURCHASE, NY, October ___, 2001 – The New Power Company </w:t>
      </w:r>
      <w:r>
        <w:rPr>
          <w:strike/>
          <w:sz w:val="22"/>
        </w:rPr>
        <w:t>{(the “Company”)}</w:t>
      </w:r>
      <w:r>
        <w:rPr>
          <w:b/>
          <w:sz w:val="22"/>
        </w:rPr>
        <w:t>[(“NewPower”)]</w:t>
      </w:r>
      <w:r>
        <w:rPr>
          <w:sz w:val="22"/>
        </w:rPr>
        <w:t>, a wholly owned subsidiary of NewPower Holdings, Inc. (NYSE: NPW</w:t>
      </w:r>
      <w:r>
        <w:rPr>
          <w:strike/>
          <w:sz w:val="22"/>
        </w:rPr>
        <w:t>{)}</w:t>
      </w:r>
      <w:r>
        <w:rPr>
          <w:b/>
          <w:sz w:val="22"/>
        </w:rPr>
        <w:t>[, the “Company”)]</w:t>
      </w:r>
      <w:r>
        <w:rPr>
          <w:sz w:val="22"/>
        </w:rPr>
        <w:t xml:space="preserve">, today filed a Form 8-K with the Securities and Exchange Commission reporting that it has revised its </w:t>
      </w:r>
      <w:r>
        <w:rPr>
          <w:strike/>
          <w:sz w:val="22"/>
        </w:rPr>
        <w:t>{security}</w:t>
      </w:r>
      <w:r>
        <w:rPr>
          <w:sz w:val="22"/>
        </w:rPr>
        <w:t xml:space="preserve"> </w:t>
      </w:r>
      <w:r>
        <w:rPr>
          <w:b/>
          <w:sz w:val="22"/>
        </w:rPr>
        <w:t>[master netting]</w:t>
      </w:r>
      <w:r>
        <w:rPr>
          <w:sz w:val="22"/>
        </w:rPr>
        <w:t xml:space="preserve"> agreement with Enron North </w:t>
      </w:r>
      <w:r>
        <w:rPr>
          <w:strike/>
          <w:sz w:val="22"/>
        </w:rPr>
        <w:t>{American}</w:t>
      </w:r>
      <w:r>
        <w:rPr>
          <w:sz w:val="22"/>
        </w:rPr>
        <w:t xml:space="preserve"> </w:t>
      </w:r>
      <w:r>
        <w:rPr>
          <w:b/>
          <w:sz w:val="22"/>
        </w:rPr>
        <w:t>[America]</w:t>
      </w:r>
      <w:r>
        <w:rPr>
          <w:sz w:val="22"/>
        </w:rPr>
        <w:t xml:space="preserve"> Corp., Enron Energy Services, Inc., and Enron Power Marketing, Inc.</w:t>
      </w:r>
      <w:r>
        <w:rPr>
          <w:strike/>
          <w:sz w:val="22"/>
        </w:rPr>
        <w:t>{,}</w:t>
      </w:r>
      <w:r>
        <w:rPr>
          <w:sz w:val="22"/>
        </w:rPr>
        <w:t xml:space="preserve"> (together, the “Enron Subsidiaries”).  The effect of the amendment is to reduce, through January 4, 2002, the amount of cash collateral that </w:t>
      </w:r>
      <w:r>
        <w:rPr>
          <w:strike/>
          <w:sz w:val="22"/>
        </w:rPr>
        <w:t>{the Company}</w:t>
      </w:r>
      <w:r>
        <w:rPr>
          <w:sz w:val="22"/>
        </w:rPr>
        <w:t xml:space="preserve"> </w:t>
      </w:r>
      <w:r>
        <w:rPr>
          <w:b/>
          <w:sz w:val="22"/>
        </w:rPr>
        <w:t>[NewPower]</w:t>
      </w:r>
      <w:r>
        <w:rPr>
          <w:sz w:val="22"/>
        </w:rPr>
        <w:t xml:space="preserve"> is required to </w:t>
      </w:r>
      <w:r>
        <w:rPr>
          <w:strike/>
          <w:sz w:val="22"/>
        </w:rPr>
        <w:t>{pledge}</w:t>
      </w:r>
      <w:r>
        <w:rPr>
          <w:sz w:val="22"/>
        </w:rPr>
        <w:t xml:space="preserve"> </w:t>
      </w:r>
      <w:r>
        <w:rPr>
          <w:b/>
          <w:sz w:val="22"/>
        </w:rPr>
        <w:t>[post]</w:t>
      </w:r>
      <w:r>
        <w:rPr>
          <w:sz w:val="22"/>
        </w:rPr>
        <w:t xml:space="preserve"> under the </w:t>
      </w:r>
      <w:r>
        <w:rPr>
          <w:strike/>
          <w:sz w:val="22"/>
        </w:rPr>
        <w:t>{security}</w:t>
      </w:r>
      <w:r>
        <w:rPr>
          <w:sz w:val="22"/>
        </w:rPr>
        <w:t xml:space="preserve"> </w:t>
      </w:r>
      <w:r>
        <w:rPr>
          <w:b/>
          <w:sz w:val="22"/>
        </w:rPr>
        <w:t>[master netting]</w:t>
      </w:r>
      <w:r>
        <w:rPr>
          <w:sz w:val="22"/>
        </w:rPr>
        <w:t xml:space="preserve"> agreement by up to $40 million.</w:t>
      </w:r>
    </w:p>
    <w:p>
      <w:pPr>
        <w:pStyle w:val="BodyText3"/>
        <w:widowControl/>
        <w:bidi w:val="0"/>
        <w:jc w:val="start"/>
        <w:rPr>
          <w:rFonts w:ascii="Times New Roman" w:hAnsi="Times New Roman"/>
          <w:sz w:val="22"/>
        </w:rPr>
      </w:pPr>
      <w:r>
        <w:rPr>
          <w:sz w:val="22"/>
        </w:rPr>
      </w:r>
    </w:p>
    <w:p>
      <w:pPr>
        <w:pStyle w:val="BodyText3"/>
        <w:widowControl/>
        <w:bidi w:val="0"/>
        <w:jc w:val="start"/>
        <w:rPr>
          <w:rFonts w:ascii="Times New Roman" w:hAnsi="Times New Roman"/>
          <w:sz w:val="22"/>
        </w:rPr>
      </w:pPr>
      <w:r>
        <w:rPr>
          <w:sz w:val="22"/>
        </w:rPr>
        <w:t xml:space="preserve">The </w:t>
      </w:r>
      <w:r>
        <w:rPr>
          <w:strike/>
          <w:sz w:val="22"/>
        </w:rPr>
        <w:t>{amendments affect}</w:t>
      </w:r>
      <w:r>
        <w:rPr>
          <w:sz w:val="22"/>
        </w:rPr>
        <w:t xml:space="preserve"> </w:t>
      </w:r>
      <w:r>
        <w:rPr>
          <w:b/>
          <w:sz w:val="22"/>
        </w:rPr>
        <w:t>[amendment affects]</w:t>
      </w:r>
      <w:r>
        <w:rPr>
          <w:sz w:val="22"/>
        </w:rPr>
        <w:t xml:space="preserve"> the Master Cross-Product Netting, Setoff, and Security Agreement </w:t>
      </w:r>
      <w:r>
        <w:rPr>
          <w:strike/>
          <w:sz w:val="22"/>
        </w:rPr>
        <w:t>{(collectively, the “Security}</w:t>
      </w:r>
      <w:r>
        <w:rPr>
          <w:b/>
          <w:sz w:val="22"/>
        </w:rPr>
        <w:t>[(the “Master Netting]</w:t>
      </w:r>
      <w:r>
        <w:rPr>
          <w:sz w:val="22"/>
        </w:rPr>
        <w:t xml:space="preserve"> Agreement”) </w:t>
      </w:r>
      <w:r>
        <w:rPr>
          <w:strike/>
          <w:sz w:val="22"/>
        </w:rPr>
        <w:t>{between the Company}</w:t>
      </w:r>
      <w:r>
        <w:rPr>
          <w:sz w:val="22"/>
        </w:rPr>
        <w:t xml:space="preserve"> </w:t>
      </w:r>
      <w:r>
        <w:rPr>
          <w:b/>
          <w:sz w:val="22"/>
        </w:rPr>
        <w:t>[among NewPower]</w:t>
      </w:r>
      <w:r>
        <w:rPr>
          <w:sz w:val="22"/>
        </w:rPr>
        <w:t xml:space="preserve"> and the Enron Subsidiaries, and </w:t>
      </w:r>
      <w:r>
        <w:rPr>
          <w:strike/>
          <w:sz w:val="22"/>
        </w:rPr>
        <w:t>{expand}</w:t>
      </w:r>
      <w:r>
        <w:rPr>
          <w:sz w:val="22"/>
        </w:rPr>
        <w:t xml:space="preserve"> </w:t>
      </w:r>
      <w:r>
        <w:rPr>
          <w:b/>
          <w:sz w:val="22"/>
        </w:rPr>
        <w:t>[expands]</w:t>
      </w:r>
      <w:r>
        <w:rPr>
          <w:sz w:val="22"/>
        </w:rPr>
        <w:t xml:space="preserve"> through January 4, 2002, the types of collateral that </w:t>
      </w:r>
      <w:r>
        <w:rPr>
          <w:strike/>
          <w:sz w:val="22"/>
        </w:rPr>
        <w:t>{the Company}</w:t>
      </w:r>
      <w:r>
        <w:rPr>
          <w:sz w:val="22"/>
        </w:rPr>
        <w:t xml:space="preserve"> </w:t>
      </w:r>
      <w:r>
        <w:rPr>
          <w:b/>
          <w:sz w:val="22"/>
        </w:rPr>
        <w:t>[NewPower]</w:t>
      </w:r>
      <w:r>
        <w:rPr>
          <w:sz w:val="22"/>
        </w:rPr>
        <w:t xml:space="preserve"> is permitted to </w:t>
      </w:r>
      <w:r>
        <w:rPr>
          <w:strike/>
          <w:sz w:val="22"/>
        </w:rPr>
        <w:t>{pledge}</w:t>
      </w:r>
      <w:r>
        <w:rPr>
          <w:sz w:val="22"/>
        </w:rPr>
        <w:t xml:space="preserve"> </w:t>
      </w:r>
      <w:r>
        <w:rPr>
          <w:b/>
          <w:sz w:val="22"/>
        </w:rPr>
        <w:t>[post]</w:t>
      </w:r>
      <w:r>
        <w:rPr>
          <w:sz w:val="22"/>
        </w:rPr>
        <w:t xml:space="preserve"> to the Enron Subsidiaries.  Under the amended </w:t>
      </w:r>
      <w:r>
        <w:rPr>
          <w:strike/>
          <w:sz w:val="22"/>
        </w:rPr>
        <w:t>{Security}</w:t>
      </w:r>
      <w:r>
        <w:rPr>
          <w:sz w:val="22"/>
        </w:rPr>
        <w:t xml:space="preserve"> </w:t>
      </w:r>
      <w:r>
        <w:rPr>
          <w:b/>
          <w:sz w:val="22"/>
        </w:rPr>
        <w:t>[Master Netting]</w:t>
      </w:r>
      <w:r>
        <w:rPr>
          <w:sz w:val="22"/>
        </w:rPr>
        <w:t xml:space="preserve"> Agreement, the first $70 million of </w:t>
      </w:r>
      <w:r>
        <w:rPr>
          <w:strike/>
          <w:sz w:val="22"/>
        </w:rPr>
        <w:t>{pledged}</w:t>
      </w:r>
      <w:r>
        <w:rPr>
          <w:sz w:val="22"/>
        </w:rPr>
        <w:t xml:space="preserve"> </w:t>
      </w:r>
      <w:r>
        <w:rPr>
          <w:b/>
          <w:sz w:val="22"/>
        </w:rPr>
        <w:t>[posted]</w:t>
      </w:r>
      <w:r>
        <w:rPr>
          <w:sz w:val="22"/>
        </w:rPr>
        <w:t xml:space="preserve"> collateral must be in the form of cash, while amounts in excess of $70 million may consist of not more than $40 million of eligible receivables and inventory of </w:t>
      </w:r>
      <w:r>
        <w:rPr>
          <w:strike/>
          <w:sz w:val="22"/>
        </w:rPr>
        <w:t>{the Company}</w:t>
      </w:r>
      <w:r>
        <w:rPr>
          <w:sz w:val="22"/>
        </w:rPr>
        <w:t xml:space="preserve"> </w:t>
      </w:r>
      <w:r>
        <w:rPr>
          <w:b/>
          <w:sz w:val="22"/>
        </w:rPr>
        <w:t>[NewPower]</w:t>
      </w:r>
      <w:r>
        <w:rPr>
          <w:sz w:val="22"/>
        </w:rPr>
        <w:t xml:space="preserve">, valued at discounts specified in the amendment </w:t>
      </w:r>
      <w:r>
        <w:rPr>
          <w:strike/>
          <w:sz w:val="22"/>
        </w:rPr>
        <w:t>{to Security Agreement}</w:t>
      </w:r>
      <w:r>
        <w:rPr>
          <w:b/>
          <w:sz w:val="22"/>
        </w:rPr>
        <w:t>[, and subject to a $25 million cap for October 2001]</w:t>
      </w:r>
      <w:r>
        <w:rPr>
          <w:sz w:val="22"/>
        </w:rPr>
        <w:t>.</w:t>
      </w:r>
    </w:p>
    <w:p>
      <w:pPr>
        <w:pStyle w:val="Normal"/>
        <w:widowControl/>
        <w:bidi w:val="0"/>
        <w:spacing w:before="40" w:after="0"/>
        <w:ind w:hanging="0" w:start="0" w:end="0"/>
        <w:jc w:val="start"/>
        <w:rPr>
          <w:sz w:val="22"/>
        </w:rPr>
      </w:pPr>
      <w:r>
        <w:rPr>
          <w:sz w:val="22"/>
        </w:rPr>
      </w:r>
    </w:p>
    <w:p>
      <w:pPr>
        <w:pStyle w:val="Normal"/>
        <w:widowControl/>
        <w:bidi w:val="0"/>
        <w:spacing w:before="40" w:after="0"/>
        <w:ind w:hanging="0" w:start="0" w:end="0"/>
        <w:jc w:val="start"/>
        <w:rPr>
          <w:sz w:val="22"/>
        </w:rPr>
      </w:pPr>
      <w:r>
        <w:rPr>
          <w:sz w:val="22"/>
        </w:rPr>
        <w:t xml:space="preserve">The Company </w:t>
      </w:r>
      <w:r>
        <w:rPr>
          <w:strike/>
          <w:sz w:val="22"/>
        </w:rPr>
        <w:t>{forecasts}</w:t>
      </w:r>
      <w:r>
        <w:rPr>
          <w:sz w:val="22"/>
        </w:rPr>
        <w:t xml:space="preserve"> </w:t>
      </w:r>
      <w:r>
        <w:rPr>
          <w:b/>
          <w:sz w:val="22"/>
        </w:rPr>
        <w:t>[expects]</w:t>
      </w:r>
      <w:r>
        <w:rPr>
          <w:sz w:val="22"/>
        </w:rPr>
        <w:t xml:space="preserve"> that with this amendment and </w:t>
      </w:r>
      <w:r>
        <w:rPr>
          <w:b/>
          <w:sz w:val="22"/>
        </w:rPr>
        <w:t>[its on-going]</w:t>
      </w:r>
      <w:r>
        <w:rPr>
          <w:sz w:val="22"/>
        </w:rPr>
        <w:t xml:space="preserve"> cost reduction measures, </w:t>
      </w:r>
      <w:r>
        <w:rPr>
          <w:strike/>
          <w:sz w:val="22"/>
        </w:rPr>
        <w:t>{it has}</w:t>
      </w:r>
      <w:r>
        <w:rPr>
          <w:sz w:val="22"/>
        </w:rPr>
        <w:t xml:space="preserve"> </w:t>
      </w:r>
      <w:r>
        <w:rPr>
          <w:b/>
          <w:sz w:val="22"/>
        </w:rPr>
        <w:t>[and absent any additional decline in commodity prices or other significant events, it will have]</w:t>
      </w:r>
      <w:r>
        <w:rPr>
          <w:sz w:val="22"/>
        </w:rPr>
        <w:t xml:space="preserve"> sufficient financial resources to conduct its business </w:t>
      </w:r>
      <w:r>
        <w:rPr>
          <w:strike/>
          <w:sz w:val="22"/>
        </w:rPr>
        <w:t>{until it secures}</w:t>
      </w:r>
      <w:r>
        <w:rPr>
          <w:sz w:val="22"/>
        </w:rPr>
        <w:t xml:space="preserve"> </w:t>
      </w:r>
      <w:r>
        <w:rPr>
          <w:b/>
          <w:sz w:val="22"/>
        </w:rPr>
        <w:t>[through the end of the year.  The Company is actively seeking to arrange]</w:t>
      </w:r>
      <w:r>
        <w:rPr>
          <w:sz w:val="22"/>
        </w:rPr>
        <w:t xml:space="preserve"> permanent financing, such as the asset-backed financing efforts previously announced</w:t>
      </w:r>
      <w:r>
        <w:rPr>
          <w:strike/>
          <w:sz w:val="22"/>
        </w:rPr>
        <w:t>{. This financing will}</w:t>
      </w:r>
      <w:r>
        <w:rPr>
          <w:b/>
          <w:sz w:val="22"/>
        </w:rPr>
        <w:t>[, which would]</w:t>
      </w:r>
      <w:r>
        <w:rPr>
          <w:sz w:val="22"/>
        </w:rPr>
        <w:t xml:space="preserve"> provide additional funding </w:t>
      </w:r>
      <w:r>
        <w:rPr>
          <w:strike/>
          <w:sz w:val="22"/>
        </w:rPr>
        <w:t>{which is needed in}</w:t>
      </w:r>
      <w:r>
        <w:rPr>
          <w:sz w:val="22"/>
        </w:rPr>
        <w:t xml:space="preserve"> </w:t>
      </w:r>
      <w:r>
        <w:rPr>
          <w:b/>
          <w:sz w:val="22"/>
        </w:rPr>
        <w:t>[required beginning January 4,]</w:t>
      </w:r>
      <w:r>
        <w:rPr>
          <w:sz w:val="22"/>
        </w:rPr>
        <w:t xml:space="preserve"> 2002.</w:t>
      </w:r>
    </w:p>
    <w:p>
      <w:pPr>
        <w:pStyle w:val="Normal"/>
        <w:widowControl/>
        <w:bidi w:val="0"/>
        <w:spacing w:before="40" w:after="0"/>
        <w:ind w:hanging="0" w:start="0" w:end="0"/>
        <w:jc w:val="start"/>
        <w:rPr>
          <w:sz w:val="22"/>
        </w:rPr>
      </w:pPr>
      <w:r>
        <w:rPr>
          <w:sz w:val="22"/>
        </w:rPr>
      </w:r>
    </w:p>
    <w:p>
      <w:pPr>
        <w:pStyle w:val="Normal"/>
        <w:widowControl/>
        <w:bidi w:val="0"/>
        <w:spacing w:before="40" w:after="0"/>
        <w:ind w:hanging="0" w:start="0" w:end="0"/>
        <w:jc w:val="start"/>
        <w:rPr>
          <w:sz w:val="22"/>
        </w:rPr>
      </w:pPr>
      <w:r>
        <w:rPr>
          <w:sz w:val="22"/>
        </w:rPr>
        <w:t>The Company expects to meet its previous estimate of net loss and loss per basic and diluted share for the third quarter ended September 30, 2001.  However, customer count and revenues are expected to be slightly lower than previously forecast.</w:t>
      </w:r>
    </w:p>
    <w:p>
      <w:pPr>
        <w:pStyle w:val="Normal"/>
        <w:widowControl/>
        <w:bidi w:val="0"/>
        <w:spacing w:before="40" w:after="0"/>
        <w:ind w:hanging="0" w:start="0" w:end="0"/>
        <w:jc w:val="start"/>
        <w:rPr>
          <w:sz w:val="22"/>
        </w:rPr>
      </w:pPr>
      <w:r>
        <w:rPr>
          <w:sz w:val="22"/>
        </w:rPr>
      </w:r>
    </w:p>
    <w:p>
      <w:pPr>
        <w:pStyle w:val="Normal"/>
        <w:widowControl/>
        <w:bidi w:val="0"/>
        <w:spacing w:before="40" w:after="0"/>
        <w:ind w:hanging="0" w:start="0" w:end="0"/>
        <w:jc w:val="start"/>
        <w:rPr>
          <w:sz w:val="22"/>
        </w:rPr>
      </w:pPr>
      <w:r>
        <w:rPr>
          <w:sz w:val="22"/>
        </w:rPr>
        <w:t>The Company will provide revised guidance for the fourth quarter 2001 and an outlook for 2002 on its third quarter conference call scheduled for Thursday, November 8.</w:t>
      </w:r>
    </w:p>
    <w:p>
      <w:pPr>
        <w:pStyle w:val="Header"/>
        <w:widowControl/>
        <w:tabs>
          <w:tab w:val="clear" w:pos="4320"/>
          <w:tab w:val="clear" w:pos="8640"/>
        </w:tabs>
        <w:bidi w:val="0"/>
        <w:spacing w:before="40" w:after="0"/>
        <w:jc w:val="start"/>
        <w:rPr>
          <w:rFonts w:ascii="Times New Roman" w:hAnsi="Times New Roman"/>
          <w:sz w:val="22"/>
        </w:rPr>
      </w:pPr>
      <w:r>
        <w:rPr>
          <w:sz w:val="22"/>
        </w:rPr>
      </w:r>
    </w:p>
    <w:p>
      <w:pPr>
        <w:pStyle w:val="Footer"/>
        <w:widowControl/>
        <w:tabs>
          <w:tab w:val="clear" w:pos="4320"/>
          <w:tab w:val="clear" w:pos="8640"/>
        </w:tabs>
        <w:bidi w:val="0"/>
        <w:spacing w:before="40" w:after="0"/>
        <w:jc w:val="start"/>
        <w:rPr>
          <w:rFonts w:ascii="Times New Roman" w:hAnsi="Times New Roman"/>
          <w:sz w:val="22"/>
        </w:rPr>
      </w:pPr>
      <w:r>
        <w:rPr>
          <w:b/>
          <w:i/>
          <w:sz w:val="22"/>
        </w:rPr>
        <w:t>Cautionary Statement</w:t>
      </w:r>
    </w:p>
    <w:p>
      <w:pPr>
        <w:pStyle w:val="BodyText"/>
        <w:widowControl/>
        <w:bidi w:val="0"/>
        <w:jc w:val="start"/>
        <w:rPr>
          <w:rFonts w:ascii="Times New Roman" w:hAnsi="Times New Roman"/>
          <w:sz w:val="22"/>
        </w:rPr>
      </w:pPr>
      <w:r>
        <w:rPr>
          <w:rFonts w:ascii="Times New Roman" w:hAnsi="Times New Roman"/>
          <w:sz w:val="22"/>
        </w:rPr>
        <w:t>This press release contains certain forward-looking statements within the meaning of the Private Securities Litigation Reform Act of 1995, Section 27A of the Securities Act of 1933, and Section 21E of the Securities Exchange Act of 1934.  These statements involve risks and uncertainties and may differ materially from actual future events or results.  Although we believe that our expectations are based on reasonable assumptions, we can give no assurance that our goals will be achieved.  The Company undertakes no obligation to publicly release any revisions to these forward-looking statements to reflect events or circumstances after the date hereof or to reflect the occurrence of unanticipated events.  Important factors that could cause actual results to differ from estimates or projections contained in the forward-looking statements include our limited operating history; delays or changes in the rules for the restructuring of the electric and natural gas markets; our ability to attract and retain customers; our ability to manage our energy requirements and sell energy at a sufficient margin given the volatility in prices for electricity and natural gas; the effect of commodity volatility on collateral requirements and liquidity; our dependence on third parties to provide critical functions to us and to our customers; and conditions of the capital markets affecting the availability of capital.  Readers are referred to the Company’s Annual Report on Form 10-K for the year ending December 31, 2000 and our Registration Statement on Form S-1 (No. 333.41412) on file with the Securities and Exchange Commission for a discussion of factors that could cause actual results to differ materially from these forward-looking statements.</w:t>
      </w:r>
    </w:p>
    <w:p>
      <w:pPr>
        <w:pStyle w:val="Footer"/>
        <w:widowControl/>
        <w:tabs>
          <w:tab w:val="clear" w:pos="4320"/>
          <w:tab w:val="clear" w:pos="8640"/>
        </w:tabs>
        <w:bidi w:val="0"/>
        <w:spacing w:before="40" w:after="0"/>
        <w:jc w:val="start"/>
        <w:rPr>
          <w:rFonts w:ascii="Times New Roman" w:hAnsi="Times New Roman"/>
          <w:sz w:val="22"/>
        </w:rPr>
      </w:pPr>
      <w:r>
        <w:rPr>
          <w:sz w:val="22"/>
        </w:rPr>
      </w:r>
    </w:p>
    <w:p>
      <w:pPr>
        <w:pStyle w:val="Footer"/>
        <w:widowControl/>
        <w:tabs>
          <w:tab w:val="clear" w:pos="4320"/>
          <w:tab w:val="clear" w:pos="8640"/>
        </w:tabs>
        <w:bidi w:val="0"/>
        <w:spacing w:before="40" w:after="0"/>
        <w:jc w:val="start"/>
        <w:rPr>
          <w:rFonts w:ascii="Times New Roman" w:hAnsi="Times New Roman"/>
          <w:sz w:val="22"/>
        </w:rPr>
      </w:pPr>
      <w:r>
        <w:rPr>
          <w:b/>
          <w:sz w:val="22"/>
        </w:rPr>
        <w:t>About NewPower Holdings, Inc.</w:t>
      </w:r>
    </w:p>
    <w:p>
      <w:pPr>
        <w:pStyle w:val="BodyText"/>
        <w:widowControl/>
        <w:bidi w:val="0"/>
        <w:spacing w:before="40" w:after="0"/>
        <w:jc w:val="start"/>
        <w:rPr>
          <w:rFonts w:ascii="Times New Roman" w:hAnsi="Times New Roman"/>
          <w:sz w:val="22"/>
        </w:rPr>
      </w:pPr>
      <w:r>
        <w:rPr>
          <w:rFonts w:ascii="Times New Roman" w:hAnsi="Times New Roman"/>
          <w:sz w:val="22"/>
        </w:rPr>
        <w:t>NewPower Holdings, Inc. (NYSE: NPW), through its subsidiary, The New Power Company, is the first national provider of electricity and natural gas to residential and small commercial customers in the United States. The Company offers consumers in restructured retail energy markets competitive energy prices, pricing choices, improved customer service and other innovative products, services and incentives.</w:t>
      </w:r>
    </w:p>
    <w:p>
      <w:pPr>
        <w:pStyle w:val="Normal"/>
        <w:widowControl/>
        <w:bidi w:val="0"/>
        <w:spacing w:before="40" w:after="0"/>
        <w:ind w:hanging="0" w:start="0" w:end="0"/>
        <w:jc w:val="start"/>
        <w:rPr>
          <w:sz w:val="22"/>
        </w:rPr>
      </w:pPr>
      <w:r>
        <w:rPr>
          <w:sz w:val="22"/>
        </w:rPr>
      </w:r>
      <w:r>
        <w:br w:type="page"/>
      </w:r>
    </w:p>
    <w:p>
      <w:pPr>
        <w:pStyle w:val="Normal"/>
        <w:widowControl/>
        <w:bidi w:val="0"/>
        <w:spacing w:lineRule="atLeast" w:line="240"/>
        <w:ind w:hanging="0" w:start="0" w:end="0"/>
        <w:jc w:val="start"/>
        <w:rPr>
          <w:sz w:val="22"/>
        </w:rPr>
      </w:pPr>
      <w:r>
        <w:rPr>
          <w:sz w:val="22"/>
        </w:rPr>
      </w:r>
    </w:p>
    <w:p>
      <w:pPr>
        <w:pStyle w:val="Normal"/>
        <w:widowControl/>
        <w:bidi w:val="0"/>
        <w:spacing w:lineRule="atLeast" w:line="240"/>
        <w:ind w:hanging="0" w:start="0" w:end="0"/>
        <w:jc w:val="start"/>
        <w:rPr>
          <w:sz w:val="22"/>
        </w:rPr>
      </w:pPr>
      <w:r>
        <w:rPr>
          <w:sz w:val="22"/>
        </w:rPr>
        <w:t>---------------------- REVISION LIST ----------------------</w:t>
      </w:r>
    </w:p>
    <w:p>
      <w:pPr>
        <w:pStyle w:val="Normal"/>
        <w:widowControl/>
        <w:bidi w:val="0"/>
        <w:spacing w:lineRule="atLeast" w:line="240"/>
        <w:ind w:hanging="0" w:start="0" w:end="0"/>
        <w:jc w:val="start"/>
        <w:rPr>
          <w:sz w:val="22"/>
        </w:rPr>
      </w:pPr>
      <w:r>
        <w:rPr>
          <w:sz w:val="22"/>
        </w:rPr>
      </w:r>
    </w:p>
    <w:p>
      <w:pPr>
        <w:pStyle w:val="Normal"/>
        <w:widowControl/>
        <w:bidi w:val="0"/>
        <w:spacing w:lineRule="atLeast" w:line="240"/>
        <w:ind w:hanging="0" w:start="0" w:end="0"/>
        <w:jc w:val="start"/>
        <w:rPr>
          <w:sz w:val="22"/>
        </w:rPr>
      </w:pPr>
      <w:r>
        <w:rPr>
          <w:sz w:val="22"/>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2"/>
        </w:rPr>
      </w:pPr>
      <w:r>
        <w:rPr>
          <w:sz w:val="22"/>
        </w:rPr>
      </w:r>
    </w:p>
    <w:p>
      <w:pPr>
        <w:pStyle w:val="Normal"/>
        <w:widowControl/>
        <w:bidi w:val="0"/>
        <w:spacing w:lineRule="atLeast" w:line="240"/>
        <w:ind w:hanging="0" w:start="0" w:end="0"/>
        <w:jc w:val="start"/>
        <w:rPr>
          <w:sz w:val="22"/>
        </w:rPr>
      </w:pPr>
      <w:r>
        <w:rPr>
          <w:sz w:val="22"/>
        </w:rPr>
        <w:t>[1:2 1:2] Changed</w:t>
        <w:tab/>
        <w:t>"COMMODITY SECURITY " to "ITS NETTING "</w:t>
      </w:r>
    </w:p>
    <w:p>
      <w:pPr>
        <w:pStyle w:val="Normal"/>
        <w:widowControl/>
        <w:bidi w:val="0"/>
        <w:spacing w:lineRule="atLeast" w:line="240"/>
        <w:ind w:hanging="0" w:start="0" w:end="0"/>
        <w:jc w:val="start"/>
        <w:rPr>
          <w:sz w:val="22"/>
        </w:rPr>
      </w:pPr>
      <w:r>
        <w:rPr>
          <w:sz w:val="22"/>
        </w:rPr>
        <w:t>[1:3 1:3] Changed</w:t>
        <w:tab/>
        <w:t>"(the “Company”)" to "(“NewPower”)"</w:t>
      </w:r>
    </w:p>
    <w:p>
      <w:pPr>
        <w:pStyle w:val="Normal"/>
        <w:widowControl/>
        <w:bidi w:val="0"/>
        <w:spacing w:lineRule="atLeast" w:line="240"/>
        <w:ind w:hanging="0" w:start="0" w:end="0"/>
        <w:jc w:val="start"/>
        <w:rPr>
          <w:sz w:val="22"/>
        </w:rPr>
      </w:pPr>
      <w:r>
        <w:rPr>
          <w:sz w:val="22"/>
        </w:rPr>
        <w:t>[1:3 1:3] Changed</w:t>
        <w:tab/>
        <w:t>"NPW)," to "NPW, the “Company”),"</w:t>
      </w:r>
    </w:p>
    <w:p>
      <w:pPr>
        <w:pStyle w:val="Normal"/>
        <w:widowControl/>
        <w:bidi w:val="0"/>
        <w:spacing w:lineRule="atLeast" w:line="240"/>
        <w:ind w:hanging="0" w:start="0" w:end="0"/>
        <w:jc w:val="start"/>
        <w:rPr>
          <w:sz w:val="22"/>
        </w:rPr>
      </w:pPr>
      <w:r>
        <w:rPr>
          <w:sz w:val="22"/>
        </w:rPr>
        <w:t>[1:3 1:3] Changed</w:t>
        <w:tab/>
        <w:t>"its security agreement" to "its master  ...  agreement"</w:t>
      </w:r>
    </w:p>
    <w:p>
      <w:pPr>
        <w:pStyle w:val="Normal"/>
        <w:widowControl/>
        <w:bidi w:val="0"/>
        <w:spacing w:lineRule="atLeast" w:line="240"/>
        <w:ind w:hanging="0" w:start="0" w:end="0"/>
        <w:jc w:val="start"/>
        <w:rPr>
          <w:sz w:val="22"/>
        </w:rPr>
      </w:pPr>
      <w:r>
        <w:rPr>
          <w:sz w:val="22"/>
        </w:rPr>
        <w:t>[1:3 1:3] Changed</w:t>
        <w:tab/>
        <w:t>"American " to "America "</w:t>
      </w:r>
    </w:p>
    <w:p>
      <w:pPr>
        <w:pStyle w:val="Normal"/>
        <w:widowControl/>
        <w:bidi w:val="0"/>
        <w:spacing w:lineRule="atLeast" w:line="240"/>
        <w:ind w:hanging="0" w:start="0" w:end="0"/>
        <w:jc w:val="start"/>
        <w:rPr>
          <w:sz w:val="22"/>
        </w:rPr>
      </w:pPr>
      <w:r>
        <w:rPr>
          <w:sz w:val="22"/>
        </w:rPr>
        <w:t>[1:3 1:3] Changed</w:t>
        <w:tab/>
        <w:t>"Inc., (together," to "Inc. (together,"</w:t>
      </w:r>
    </w:p>
    <w:p>
      <w:pPr>
        <w:pStyle w:val="Normal"/>
        <w:widowControl/>
        <w:bidi w:val="0"/>
        <w:spacing w:lineRule="atLeast" w:line="240"/>
        <w:ind w:hanging="0" w:start="0" w:end="0"/>
        <w:jc w:val="start"/>
        <w:rPr>
          <w:sz w:val="22"/>
        </w:rPr>
      </w:pPr>
      <w:r>
        <w:rPr>
          <w:sz w:val="22"/>
        </w:rPr>
        <w:t>[1:3 1:3] Changed</w:t>
        <w:tab/>
        <w:t>"the Company " to "NewPower "</w:t>
      </w:r>
    </w:p>
    <w:p>
      <w:pPr>
        <w:pStyle w:val="Normal"/>
        <w:widowControl/>
        <w:bidi w:val="0"/>
        <w:spacing w:lineRule="atLeast" w:line="240"/>
        <w:ind w:hanging="0" w:start="0" w:end="0"/>
        <w:jc w:val="start"/>
        <w:rPr>
          <w:sz w:val="22"/>
        </w:rPr>
      </w:pPr>
      <w:r>
        <w:rPr>
          <w:sz w:val="22"/>
        </w:rPr>
        <w:t>[1:3 1:3] Changed</w:t>
        <w:tab/>
        <w:t>"pledge " to "post "</w:t>
      </w:r>
    </w:p>
    <w:p>
      <w:pPr>
        <w:pStyle w:val="Normal"/>
        <w:widowControl/>
        <w:bidi w:val="0"/>
        <w:spacing w:lineRule="atLeast" w:line="240"/>
        <w:ind w:hanging="0" w:start="0" w:end="0"/>
        <w:jc w:val="start"/>
        <w:rPr>
          <w:sz w:val="22"/>
        </w:rPr>
      </w:pPr>
      <w:r>
        <w:rPr>
          <w:sz w:val="22"/>
        </w:rPr>
        <w:t>[1:3 1:3] Changed</w:t>
        <w:tab/>
        <w:t>"the security agreement" to "the master  ...  agreement"</w:t>
      </w:r>
    </w:p>
    <w:p>
      <w:pPr>
        <w:pStyle w:val="Normal"/>
        <w:widowControl/>
        <w:bidi w:val="0"/>
        <w:spacing w:lineRule="atLeast" w:line="240"/>
        <w:ind w:hanging="0" w:start="0" w:end="0"/>
        <w:jc w:val="start"/>
        <w:rPr>
          <w:sz w:val="22"/>
        </w:rPr>
      </w:pPr>
      <w:r>
        <w:rPr>
          <w:sz w:val="22"/>
        </w:rPr>
        <w:t>[1:4 1:4] Changed</w:t>
        <w:tab/>
        <w:t>"amendments affect " to "amendment affects "</w:t>
      </w:r>
    </w:p>
    <w:p>
      <w:pPr>
        <w:pStyle w:val="Normal"/>
        <w:widowControl/>
        <w:bidi w:val="0"/>
        <w:spacing w:lineRule="atLeast" w:line="240"/>
        <w:ind w:hanging="0" w:start="0" w:end="0"/>
        <w:jc w:val="start"/>
        <w:rPr>
          <w:sz w:val="22"/>
        </w:rPr>
      </w:pPr>
      <w:r>
        <w:rPr>
          <w:sz w:val="22"/>
        </w:rPr>
        <w:t>[1:4 1:4] Changed</w:t>
        <w:tab/>
        <w:t>"(collectively, the “Security " to "(the “Master Netting "</w:t>
      </w:r>
    </w:p>
    <w:p>
      <w:pPr>
        <w:pStyle w:val="Normal"/>
        <w:widowControl/>
        <w:bidi w:val="0"/>
        <w:spacing w:lineRule="atLeast" w:line="240"/>
        <w:ind w:hanging="0" w:start="0" w:end="0"/>
        <w:jc w:val="start"/>
        <w:rPr>
          <w:sz w:val="22"/>
        </w:rPr>
      </w:pPr>
      <w:r>
        <w:rPr>
          <w:sz w:val="22"/>
        </w:rPr>
        <w:t>[1:4 1:4] Changed</w:t>
        <w:tab/>
        <w:t>"between the Company " to "among NewPower "</w:t>
      </w:r>
    </w:p>
    <w:p>
      <w:pPr>
        <w:pStyle w:val="Normal"/>
        <w:widowControl/>
        <w:bidi w:val="0"/>
        <w:spacing w:lineRule="atLeast" w:line="240"/>
        <w:ind w:hanging="0" w:start="0" w:end="0"/>
        <w:jc w:val="start"/>
        <w:rPr>
          <w:sz w:val="22"/>
        </w:rPr>
      </w:pPr>
      <w:r>
        <w:rPr>
          <w:sz w:val="22"/>
        </w:rPr>
        <w:t>[1:4 1:4] Changed</w:t>
        <w:tab/>
        <w:t>"expand " to "expands "</w:t>
      </w:r>
    </w:p>
    <w:p>
      <w:pPr>
        <w:pStyle w:val="Normal"/>
        <w:widowControl/>
        <w:bidi w:val="0"/>
        <w:spacing w:lineRule="atLeast" w:line="240"/>
        <w:ind w:hanging="0" w:start="0" w:end="0"/>
        <w:jc w:val="start"/>
        <w:rPr>
          <w:sz w:val="22"/>
        </w:rPr>
      </w:pPr>
      <w:r>
        <w:rPr>
          <w:sz w:val="22"/>
        </w:rPr>
        <w:t>[1:4 1:4] Changed</w:t>
        <w:tab/>
        <w:t>"that the Company is" to "that NewPower is"</w:t>
      </w:r>
    </w:p>
    <w:p>
      <w:pPr>
        <w:pStyle w:val="Normal"/>
        <w:widowControl/>
        <w:bidi w:val="0"/>
        <w:spacing w:lineRule="atLeast" w:line="240"/>
        <w:ind w:hanging="0" w:start="0" w:end="0"/>
        <w:jc w:val="start"/>
        <w:rPr>
          <w:sz w:val="22"/>
        </w:rPr>
      </w:pPr>
      <w:r>
        <w:rPr>
          <w:sz w:val="22"/>
        </w:rPr>
        <w:t>[1:4 1:4] Changed</w:t>
        <w:tab/>
        <w:t>"pledge " to "post "</w:t>
      </w:r>
    </w:p>
    <w:p>
      <w:pPr>
        <w:pStyle w:val="Normal"/>
        <w:widowControl/>
        <w:bidi w:val="0"/>
        <w:spacing w:lineRule="atLeast" w:line="240"/>
        <w:ind w:hanging="0" w:start="0" w:end="0"/>
        <w:jc w:val="start"/>
        <w:rPr>
          <w:sz w:val="22"/>
        </w:rPr>
      </w:pPr>
      <w:r>
        <w:rPr>
          <w:sz w:val="22"/>
        </w:rPr>
        <w:t>[1:4 1:4] Changed</w:t>
        <w:tab/>
        <w:t>"amended Security Agreement," to "amended Master  ...  Agreement,"</w:t>
      </w:r>
    </w:p>
    <w:p>
      <w:pPr>
        <w:pStyle w:val="Normal"/>
        <w:widowControl/>
        <w:bidi w:val="0"/>
        <w:spacing w:lineRule="atLeast" w:line="240"/>
        <w:ind w:hanging="0" w:start="0" w:end="0"/>
        <w:jc w:val="start"/>
        <w:rPr>
          <w:sz w:val="22"/>
        </w:rPr>
      </w:pPr>
      <w:r>
        <w:rPr>
          <w:sz w:val="22"/>
        </w:rPr>
        <w:t>[1:4 1:4] Changed</w:t>
        <w:tab/>
        <w:t>"pledged " to "posted "</w:t>
      </w:r>
    </w:p>
    <w:p>
      <w:pPr>
        <w:pStyle w:val="Normal"/>
        <w:widowControl/>
        <w:bidi w:val="0"/>
        <w:spacing w:lineRule="atLeast" w:line="240"/>
        <w:ind w:hanging="0" w:start="0" w:end="0"/>
        <w:jc w:val="start"/>
        <w:rPr>
          <w:sz w:val="22"/>
        </w:rPr>
      </w:pPr>
      <w:r>
        <w:rPr>
          <w:sz w:val="22"/>
        </w:rPr>
        <w:t>[1:4 1:4] Changed</w:t>
        <w:tab/>
        <w:t>"of the Company," to "of NewPower,"</w:t>
      </w:r>
    </w:p>
    <w:p>
      <w:pPr>
        <w:pStyle w:val="Normal"/>
        <w:widowControl/>
        <w:bidi w:val="0"/>
        <w:spacing w:lineRule="atLeast" w:line="240"/>
        <w:ind w:hanging="0" w:start="0" w:end="0"/>
        <w:jc w:val="start"/>
        <w:rPr>
          <w:sz w:val="22"/>
        </w:rPr>
      </w:pPr>
      <w:r>
        <w:rPr>
          <w:sz w:val="22"/>
        </w:rPr>
        <w:t>[1:4 1:4] Changed</w:t>
        <w:tab/>
        <w:t>"to Security Agreement" to ", and subject  ...  October 2001"</w:t>
      </w:r>
    </w:p>
    <w:p>
      <w:pPr>
        <w:pStyle w:val="Normal"/>
        <w:widowControl/>
        <w:bidi w:val="0"/>
        <w:spacing w:lineRule="atLeast" w:line="240"/>
        <w:ind w:hanging="0" w:start="0" w:end="0"/>
        <w:jc w:val="start"/>
        <w:rPr>
          <w:sz w:val="22"/>
        </w:rPr>
      </w:pPr>
      <w:r>
        <w:rPr>
          <w:sz w:val="22"/>
        </w:rPr>
        <w:t>[1:5 1:5] Changed</w:t>
        <w:tab/>
        <w:t>"forecasts " to "expects "</w:t>
      </w:r>
    </w:p>
    <w:p>
      <w:pPr>
        <w:pStyle w:val="Normal"/>
        <w:widowControl/>
        <w:bidi w:val="0"/>
        <w:spacing w:lineRule="atLeast" w:line="240"/>
        <w:ind w:hanging="0" w:start="0" w:end="0"/>
        <w:jc w:val="start"/>
        <w:rPr>
          <w:sz w:val="22"/>
        </w:rPr>
      </w:pPr>
      <w:r>
        <w:rPr>
          <w:sz w:val="22"/>
        </w:rPr>
        <w:t>[1:5 1:5] Changed</w:t>
        <w:tab/>
        <w:t>"and cost" to "and its on-going cost"</w:t>
      </w:r>
    </w:p>
    <w:p>
      <w:pPr>
        <w:pStyle w:val="Normal"/>
        <w:widowControl/>
        <w:bidi w:val="0"/>
        <w:spacing w:lineRule="atLeast" w:line="240"/>
        <w:ind w:hanging="0" w:start="0" w:end="0"/>
        <w:jc w:val="start"/>
        <w:rPr>
          <w:sz w:val="22"/>
        </w:rPr>
      </w:pPr>
      <w:r>
        <w:rPr>
          <w:sz w:val="22"/>
        </w:rPr>
        <w:t>[1:5 1:5] Changed</w:t>
        <w:tab/>
        <w:t>"it has " to "and absent  ...  will have "</w:t>
      </w:r>
    </w:p>
    <w:p>
      <w:pPr>
        <w:pStyle w:val="Normal"/>
        <w:widowControl/>
        <w:bidi w:val="0"/>
        <w:spacing w:lineRule="atLeast" w:line="240"/>
        <w:ind w:hanging="0" w:start="0" w:end="0"/>
        <w:jc w:val="start"/>
        <w:rPr>
          <w:sz w:val="22"/>
        </w:rPr>
      </w:pPr>
      <w:r>
        <w:rPr>
          <w:sz w:val="22"/>
        </w:rPr>
        <w:t>[1:5 1:5] Changed</w:t>
        <w:tab/>
        <w:t>"until it secures " to "through the  ...  to arrange "</w:t>
      </w:r>
    </w:p>
    <w:p>
      <w:pPr>
        <w:pStyle w:val="Normal"/>
        <w:widowControl/>
        <w:bidi w:val="0"/>
        <w:spacing w:lineRule="atLeast" w:line="240"/>
        <w:ind w:hanging="0" w:start="0" w:end="0"/>
        <w:jc w:val="start"/>
        <w:rPr>
          <w:sz w:val="22"/>
        </w:rPr>
      </w:pPr>
      <w:r>
        <w:rPr>
          <w:sz w:val="22"/>
        </w:rPr>
        <w:t>[1:5 1:5] Changed</w:t>
        <w:tab/>
        <w:t>". This financing will " to ", which would "</w:t>
      </w:r>
    </w:p>
    <w:p>
      <w:pPr>
        <w:pStyle w:val="Normal"/>
        <w:widowControl/>
        <w:bidi w:val="0"/>
        <w:spacing w:lineRule="atLeast" w:line="240"/>
        <w:ind w:hanging="0" w:start="0" w:end="0"/>
        <w:jc w:val="start"/>
        <w:rPr>
          <w:sz w:val="22"/>
        </w:rPr>
      </w:pPr>
      <w:r>
        <w:rPr>
          <w:sz w:val="22"/>
        </w:rPr>
        <w:t>[1:5 1:5] Changed</w:t>
        <w:tab/>
        <w:t>"which is needed in " to "required beginning January 4, "</w:t>
      </w:r>
    </w:p>
    <w:p>
      <w:pPr>
        <w:pStyle w:val="Normal"/>
        <w:widowControl/>
        <w:bidi w:val="0"/>
        <w:spacing w:lineRule="atLeast" w:line="240"/>
        <w:ind w:hanging="0" w:start="0" w:end="0"/>
        <w:jc w:val="start"/>
        <w:rPr>
          <w:sz w:val="22"/>
        </w:rPr>
      </w:pPr>
      <w:r>
        <w:rPr>
          <w:sz w:val="22"/>
        </w:rPr>
      </w:r>
    </w:p>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b/>
        <w:color w:val="FF0000"/>
        <w:sz w:val="28"/>
      </w:rPr>
    </w:pPr>
    <w:r>
      <w:rPr>
        <w:b/>
        <w:color w:val="FF0000"/>
        <w:sz w:val="28"/>
      </w:rPr>
      <w:t>CONFIDENTIAL DRAFT AS OF: 10/17/01 2:00 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Times New Roman" w:hAnsi="Times New Roman"/>
        <w:b/>
        <w:color w:val="FF0000"/>
        <w:sz w:val="28"/>
      </w:rPr>
    </w:pPr>
    <w:r>
      <w:rPr>
        <w:b/>
        <w:color w:val="FF0000"/>
        <w:sz w:val="28"/>
      </w:rPr>
      <w:t>CONFIDENTIAL DRAFT AS OF: 10/17/01 2:00 pm</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rFonts w:ascii="Arial" w:hAnsi="Arial"/>
      <w:b/>
      <w:sz w:val="28"/>
      <w:lang w:val="en-US" w:eastAsia="en-US"/>
    </w:rPr>
  </w:style>
  <w:style w:type="paragraph" w:styleId="Heading2">
    <w:name w:val="heading 2"/>
    <w:basedOn w:val="Normal"/>
    <w:next w:val="Normal"/>
    <w:qFormat/>
    <w:pPr>
      <w:keepNext w:val="true"/>
      <w:widowControl w:val="false"/>
      <w:ind w:hanging="0" w:start="0" w:end="0"/>
      <w:jc w:val="start"/>
      <w:textAlignment w:val="auto"/>
    </w:pPr>
    <w:rPr>
      <w:b/>
      <w:color w:val="FF0000"/>
      <w:sz w:val="24"/>
      <w:lang w:val="en-US" w:eastAsia="en-US"/>
    </w:rPr>
  </w:style>
  <w:style w:type="paragraph" w:styleId="Heading3">
    <w:name w:val="heading 3"/>
    <w:basedOn w:val="Normal"/>
    <w:next w:val="Normal"/>
    <w:qFormat/>
    <w:pPr>
      <w:keepNext w:val="true"/>
      <w:widowControl w:val="false"/>
      <w:spacing w:lineRule="auto" w:line="360"/>
      <w:ind w:hanging="0" w:start="0" w:end="0"/>
      <w:jc w:val="start"/>
      <w:textAlignment w:val="auto"/>
    </w:pPr>
    <w:rPr>
      <w:rFonts w:ascii="Arial" w:hAnsi="Arial"/>
      <w:b/>
      <w:sz w:val="22"/>
      <w:lang w:val="en-US" w:eastAsia="en-US"/>
    </w:rPr>
  </w:style>
  <w:style w:type="paragraph" w:styleId="Heading4">
    <w:name w:val="heading 4"/>
    <w:basedOn w:val="Normal"/>
    <w:next w:val="Normal"/>
    <w:qFormat/>
    <w:pPr>
      <w:keepNext w:val="true"/>
      <w:widowControl w:val="false"/>
      <w:tabs>
        <w:tab w:val="clear" w:pos="720"/>
        <w:tab w:val="left" w:pos="5130" w:leader="none"/>
      </w:tabs>
      <w:ind w:hanging="0" w:start="0" w:end="0"/>
      <w:jc w:val="start"/>
      <w:textAlignment w:val="auto"/>
    </w:pPr>
    <w:rPr>
      <w:rFonts w:ascii="Arial" w:hAnsi="Arial"/>
      <w:b/>
      <w:sz w:val="20"/>
      <w:lang w:val="en-US" w:eastAsia="en-US"/>
    </w:rPr>
  </w:style>
  <w:style w:type="paragraph" w:styleId="Heading6">
    <w:name w:val="heading 6"/>
    <w:basedOn w:val="Normal"/>
    <w:next w:val="Normal"/>
    <w:qFormat/>
    <w:pPr>
      <w:keepNext w:val="true"/>
      <w:widowControl w:val="false"/>
      <w:spacing w:before="40" w:after="0"/>
      <w:ind w:hanging="0" w:start="0" w:end="0"/>
      <w:jc w:val="start"/>
      <w:textAlignment w:val="auto"/>
    </w:pPr>
    <w:rPr>
      <w:b/>
      <w:color w:val="FF0000"/>
      <w:sz w:val="28"/>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rFonts w:ascii="Arial" w:hAnsi="Arial"/>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BodyText3">
    <w:name w:val="Body Text 3"/>
    <w:basedOn w:val="Normal"/>
    <w:qFormat/>
    <w:pPr>
      <w:widowControl w:val="false"/>
      <w:spacing w:before="40" w:after="0"/>
      <w:ind w:hanging="0" w:start="0" w:end="0"/>
      <w:jc w:val="start"/>
      <w:textAlignment w:val="auto"/>
    </w:pPr>
    <w:rPr>
      <w:sz w:val="24"/>
      <w:lang w:val="en-US" w:eastAsia="en-US"/>
    </w:rPr>
  </w:style>
  <w:style w:type="paragraph" w:styleId="Title">
    <w:name w:val="Title"/>
    <w:basedOn w:val="Normal"/>
    <w:qFormat/>
    <w:pPr>
      <w:widowControl w:val="false"/>
      <w:ind w:hanging="0" w:start="0" w:end="0"/>
      <w:jc w:val="center"/>
      <w:textAlignment w:val="auto"/>
    </w:pPr>
    <w:rPr>
      <w:b/>
      <w:sz w:val="32"/>
      <w:u w:val="single"/>
      <w:lang w:val="en-US" w:eastAsia="en-US"/>
    </w:rPr>
  </w:style>
  <w:style w:type="paragraph" w:styleId="Subtitle">
    <w:name w:val="Subtitle"/>
    <w:basedOn w:val="Normal"/>
    <w:qFormat/>
    <w:pPr>
      <w:widowControl w:val="false"/>
      <w:ind w:hanging="0" w:start="0" w:end="0"/>
      <w:jc w:val="center"/>
      <w:textAlignment w:val="auto"/>
    </w:pPr>
    <w:rPr>
      <w:rFonts w:ascii="Arial" w:hAnsi="Arial"/>
      <w:b/>
      <w:sz w:val="32"/>
      <w:u w:val="single"/>
      <w:lang w:val="en-US" w:eastAsia="en-US"/>
    </w:rPr>
  </w:style>
  <w:style w:type="paragraph" w:styleId="BodyText2">
    <w:name w:val="Body Text 2"/>
    <w:basedOn w:val="Normal"/>
    <w:qFormat/>
    <w:pPr>
      <w:widowControl w:val="false"/>
      <w:ind w:hanging="0" w:start="0" w:end="0"/>
      <w:jc w:val="start"/>
      <w:textAlignment w:val="auto"/>
    </w:pPr>
    <w:rPr>
      <w:rFonts w:ascii="Arial" w:hAnsi="Arial"/>
      <w:color w:val="000000"/>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1007</Words>
  <Characters>7054</Characters>
  <CharactersWithSpaces>5744</CharactersWithSpaces>
  <Company>NewPower Holdings,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2001-10-17T11:58:00Z</dcterms:created>
  <dc:creator>Patrick McCoy, Manager, Investor Relations</dc:creator>
  <dc:description/>
  <cp:keywords>Enron Security Agreement</cp:keywords>
  <dc:language>en-CA</dc:language>
  <cp:lastModifiedBy/>
  <cp:lastPrinted>2001-10-17T14:19:00Z</cp:lastPrinted>
  <dcterms:modified xsi:type="dcterms:W3CDTF">2001-10-17T14:48:00Z</dcterms:modified>
  <cp:revision>6</cp:revision>
  <dc:subject>NPW Revised Security Agreement with Enron</dc:subject>
  <dc:title>8K News Release:  Revised Credit Agmt. w/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reicken</vt:lpwstr>
  </property>
</Properties>
</file>