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rPr>
      </w:pPr>
      <w:r>
        <w:rPr>
          <w:b/>
        </w:rPr>
        <w:t>PRESS RELEASE</w:t>
      </w:r>
    </w:p>
    <w:p>
      <w:pPr>
        <w:pStyle w:val="Normal"/>
        <w:suppressAutoHyphens w:val="true"/>
        <w:jc w:val="center"/>
        <w:rPr>
          <w:b/>
        </w:rPr>
      </w:pPr>
      <w:r>
        <w:rPr>
          <w:b/>
        </w:rPr>
      </w:r>
    </w:p>
    <w:p>
      <w:pPr>
        <w:pStyle w:val="Normal"/>
        <w:suppressAutoHyphens w:val="true"/>
        <w:jc w:val="center"/>
        <w:rPr>
          <w:b/>
        </w:rPr>
      </w:pPr>
      <w:r>
        <w:rPr>
          <w:b/>
        </w:rPr>
        <w:t>FOR IMMEDIATE RELEASE</w:t>
      </w:r>
    </w:p>
    <w:p>
      <w:pPr>
        <w:pStyle w:val="Normal"/>
        <w:suppressAutoHyphens w:val="true"/>
        <w:jc w:val="both"/>
        <w:rPr>
          <w:b/>
        </w:rPr>
      </w:pPr>
      <w:r>
        <w:rPr>
          <w:b/>
        </w:rPr>
      </w:r>
    </w:p>
    <w:p>
      <w:pPr>
        <w:pStyle w:val="Normal"/>
        <w:suppressAutoHyphens w:val="true"/>
        <w:jc w:val="both"/>
        <w:rPr/>
      </w:pPr>
      <w:r>
        <w:rPr/>
      </w:r>
    </w:p>
    <w:p>
      <w:pPr>
        <w:pStyle w:val="Normal"/>
        <w:suppressAutoHyphens w:val="true"/>
        <w:jc w:val="both"/>
        <w:rPr/>
      </w:pPr>
      <w:r>
        <w:rPr>
          <w:b/>
        </w:rPr>
        <w:t>TORONTO, October 17, 2000</w:t>
      </w:r>
      <w:r>
        <w:rPr/>
        <w:t xml:space="preserve"> – The CanFibre Group Limited (“</w:t>
      </w:r>
      <w:r>
        <w:rPr>
          <w:b/>
        </w:rPr>
        <w:t>CanFibre</w:t>
      </w:r>
      <w:r>
        <w:rPr/>
        <w:t>”) has been advised by PricewaterhouseCoopers Inc. (“</w:t>
      </w:r>
      <w:r>
        <w:rPr>
          <w:b/>
        </w:rPr>
        <w:t>PWC</w:t>
      </w:r>
      <w:r>
        <w:rPr/>
        <w:t>”), the trustee in bankruptcy for Kafus Industries Ltd. (“</w:t>
      </w:r>
      <w:r>
        <w:rPr>
          <w:b/>
        </w:rPr>
        <w:t>Kafus</w:t>
      </w:r>
      <w:r>
        <w:rPr/>
        <w:t>”), that the British Columbia Supreme Court has issued an order which contemplates the assignment of all of the shares of CanFibre owned or controlled by bankrupt Kafus to ECT Merchant Investments Inc. and related entities.  Kafus owns or controls approximately 86% of the issued shares of CanFibre.  The order was made after PWC advised the creditors of Kafus that it would not take any further steps against CanFibre to collect monies owned by CanFibre and related entities to Kafus.  There is no guarantee that any assignment will be completed.  Any assignment is subject to regulatory approval, including the approval of the securities regulatory authorities across Canada to permit the assignment to proceed as an exempt take-over bid pursuant to take-over bid legislation.</w:t>
      </w:r>
    </w:p>
    <w:p>
      <w:pPr>
        <w:pStyle w:val="Normal"/>
        <w:suppressAutoHyphens w:val="true"/>
        <w:jc w:val="both"/>
        <w:rPr/>
      </w:pPr>
      <w:r>
        <w:rPr/>
      </w:r>
    </w:p>
    <w:p>
      <w:pPr>
        <w:pStyle w:val="Normal"/>
        <w:suppressAutoHyphens w:val="true"/>
        <w:jc w:val="both"/>
        <w:rPr/>
      </w:pPr>
      <w:r>
        <w:rPr/>
      </w:r>
    </w:p>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50235361.2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CA" w:eastAsia="zh-CN" w:bidi="hi-IN"/>
    </w:rPr>
  </w:style>
  <w:style w:type="paragraph" w:styleId="Heading1">
    <w:name w:val="heading 1"/>
    <w:basedOn w:val="Normal"/>
    <w:next w:val="BodyText"/>
    <w:qFormat/>
    <w:pPr>
      <w:keepNext w:val="true"/>
      <w:numPr>
        <w:ilvl w:val="0"/>
        <w:numId w:val="1"/>
      </w:numPr>
      <w:spacing w:before="240" w:after="60"/>
      <w:outlineLvl w:val="0"/>
    </w:pPr>
    <w:rPr>
      <w:b/>
      <w:kern w:val="2"/>
      <w:sz w:val="28"/>
    </w:rPr>
  </w:style>
  <w:style w:type="paragraph" w:styleId="Heading2">
    <w:name w:val="heading 2"/>
    <w:basedOn w:val="Normal"/>
    <w:next w:val="BodyText"/>
    <w:qFormat/>
    <w:pPr>
      <w:keepNext w:val="true"/>
      <w:numPr>
        <w:ilvl w:val="1"/>
        <w:numId w:val="1"/>
      </w:numPr>
      <w:spacing w:before="240" w:after="60"/>
      <w:outlineLvl w:val="1"/>
    </w:pPr>
    <w:rPr>
      <w:b/>
      <w:i/>
    </w:rPr>
  </w:style>
  <w:style w:type="paragraph" w:styleId="Heading3">
    <w:name w:val="heading 3"/>
    <w:basedOn w:val="Normal"/>
    <w:next w:val="BodyText"/>
    <w:qFormat/>
    <w:pPr>
      <w:numPr>
        <w:ilvl w:val="2"/>
        <w:numId w:val="1"/>
      </w:numPr>
      <w:spacing w:before="240" w:after="60"/>
      <w:outlineLvl w:val="2"/>
    </w:pPr>
    <w:rPr/>
  </w:style>
  <w:style w:type="paragraph" w:styleId="Heading4">
    <w:name w:val="heading 4"/>
    <w:basedOn w:val="Normal"/>
    <w:next w:val="BodyText"/>
    <w:qFormat/>
    <w:pPr>
      <w:numPr>
        <w:ilvl w:val="3"/>
        <w:numId w:val="1"/>
      </w:numPr>
      <w:spacing w:before="240" w:after="60"/>
      <w:outlineLvl w:val="3"/>
    </w:pPr>
    <w:rPr>
      <w:b/>
    </w:rPr>
  </w:style>
  <w:style w:type="paragraph" w:styleId="Heading5">
    <w:name w:val="heading 5"/>
    <w:basedOn w:val="Normal"/>
    <w:next w:val="BodyText"/>
    <w:qFormat/>
    <w:pPr>
      <w:numPr>
        <w:ilvl w:val="4"/>
        <w:numId w:val="1"/>
      </w:numPr>
      <w:spacing w:before="240" w:after="60"/>
      <w:outlineLvl w:val="4"/>
    </w:pPr>
    <w:rPr>
      <w:sz w:val="22"/>
    </w:rPr>
  </w:style>
  <w:style w:type="paragraph" w:styleId="Heading6">
    <w:name w:val="heading 6"/>
    <w:basedOn w:val="Normal"/>
    <w:next w:val="BodyText"/>
    <w:qFormat/>
    <w:pPr>
      <w:numPr>
        <w:ilvl w:val="5"/>
        <w:numId w:val="1"/>
      </w:numPr>
      <w:spacing w:before="240" w:after="60"/>
      <w:outlineLvl w:val="5"/>
    </w:pPr>
    <w:rPr>
      <w:i/>
      <w:sz w:val="22"/>
    </w:rPr>
  </w:style>
  <w:style w:type="paragraph" w:styleId="Heading7">
    <w:name w:val="heading 7"/>
    <w:basedOn w:val="Normal"/>
    <w:next w:val="BodyText"/>
    <w:qFormat/>
    <w:pPr>
      <w:numPr>
        <w:ilvl w:val="6"/>
        <w:numId w:val="1"/>
      </w:numPr>
      <w:spacing w:before="240" w:after="60"/>
      <w:outlineLvl w:val="6"/>
    </w:pPr>
    <w:rPr/>
  </w:style>
  <w:style w:type="paragraph" w:styleId="Heading8">
    <w:name w:val="heading 8"/>
    <w:basedOn w:val="Normal"/>
    <w:next w:val="BodyText"/>
    <w:qFormat/>
    <w:pPr>
      <w:numPr>
        <w:ilvl w:val="7"/>
        <w:numId w:val="1"/>
      </w:numPr>
      <w:spacing w:before="240" w:after="60"/>
      <w:outlineLvl w:val="7"/>
    </w:pPr>
    <w:rPr>
      <w:i/>
    </w:rPr>
  </w:style>
  <w:style w:type="paragraph" w:styleId="Heading9">
    <w:name w:val="heading 9"/>
    <w:basedOn w:val="Normal"/>
    <w:next w:val="BodyText"/>
    <w:qFormat/>
    <w:pPr>
      <w:numPr>
        <w:ilvl w:val="8"/>
        <w:numId w:val="1"/>
      </w:numPr>
      <w:spacing w:before="240" w:after="60"/>
      <w:outlineLvl w:val="8"/>
    </w:pPr>
    <w:rPr>
      <w:b/>
      <w:i/>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BodyText"/>
    <w:next w:val="BodyText"/>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z w:val="16"/>
    </w:rPr>
  </w:style>
  <w:style w:type="paragraph" w:styleId="BlockText">
    <w:name w:val="Block Text"/>
    <w:basedOn w:val="BodyText"/>
    <w:qFormat/>
    <w:pPr>
      <w:ind w:hanging="0" w:start="1440" w:end="1440"/>
    </w:pPr>
    <w:rPr/>
  </w:style>
  <w:style w:type="paragraph" w:styleId="BodyText2">
    <w:name w:val="Body Text 2"/>
    <w:basedOn w:val="BodyText"/>
    <w:qFormat/>
    <w:pPr>
      <w:spacing w:lineRule="auto" w:line="480" w:before="0" w:after="480"/>
    </w:pPr>
    <w:rPr/>
  </w:style>
  <w:style w:type="paragraph" w:styleId="BodyText3">
    <w:name w:val="Body Text 3"/>
    <w:basedOn w:val="BodyText"/>
    <w:qFormat/>
    <w:pPr>
      <w:spacing w:before="0" w:after="160"/>
    </w:pPr>
    <w:rPr>
      <w:sz w:val="16"/>
    </w:rPr>
  </w:style>
  <w:style w:type="paragraph" w:styleId="BodyTextIndent">
    <w:name w:val="Body Text Indent"/>
    <w:basedOn w:val="BodyText"/>
    <w:pPr>
      <w:ind w:hanging="0" w:start="720" w:end="0"/>
    </w:pPr>
    <w:rPr/>
  </w:style>
  <w:style w:type="paragraph" w:styleId="BodyTextFirstIndent2">
    <w:name w:val="Body Text First Indent 2"/>
    <w:basedOn w:val="BodyText"/>
    <w:qFormat/>
    <w:pPr>
      <w:ind w:firstLine="1440" w:start="0" w:end="0"/>
    </w:pPr>
    <w:rPr/>
  </w:style>
  <w:style w:type="paragraph" w:styleId="BodyTextFirstIndent">
    <w:name w:val="Body Text First Indent"/>
    <w:basedOn w:val="BodyText"/>
    <w:qFormat/>
    <w:pPr>
      <w:ind w:firstLine="720" w:start="0" w:end="0"/>
    </w:pPr>
    <w:rPr/>
  </w:style>
  <w:style w:type="paragraph" w:styleId="BodyTextIndent2">
    <w:name w:val="Body Text Indent 2"/>
    <w:basedOn w:val="BodyText"/>
    <w:qFormat/>
    <w:pPr>
      <w:ind w:hanging="0" w:start="1440" w:end="0"/>
    </w:pPr>
    <w:rPr/>
  </w:style>
  <w:style w:type="paragraph" w:styleId="BodyTextIndent3">
    <w:name w:val="Body Text Indent 3"/>
    <w:basedOn w:val="BodyText"/>
    <w:qFormat/>
    <w:pPr>
      <w:spacing w:lineRule="auto" w:line="480" w:before="0" w:after="480"/>
      <w:ind w:hanging="0" w:start="720" w:end="0"/>
    </w:pPr>
    <w:rPr/>
  </w:style>
  <w:style w:type="paragraph" w:styleId="Closing">
    <w:name w:val="Closing"/>
    <w:basedOn w:val="Normal"/>
    <w:qFormat/>
    <w:pPr>
      <w:ind w:hanging="0" w:start="4320" w:end="0"/>
    </w:pPr>
    <w:rPr/>
  </w:style>
  <w:style w:type="paragraph" w:styleId="CommentText">
    <w:name w:val="Comment Text"/>
    <w:basedOn w:val="BodyText"/>
    <w:qFormat/>
    <w:pPr/>
    <w:rPr>
      <w:sz w:val="20"/>
    </w:rPr>
  </w:style>
  <w:style w:type="paragraph" w:styleId="Date">
    <w:name w:val="Date"/>
    <w:basedOn w:val="BodyText"/>
    <w:next w:val="BodyText"/>
    <w:qFormat/>
    <w:pPr/>
    <w:rPr/>
  </w:style>
  <w:style w:type="paragraph" w:styleId="NormalIndent">
    <w:name w:val="Normal Indent"/>
    <w:basedOn w:val="Normal"/>
    <w:qFormat/>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2000-10-17T13:11:00Z</dcterms:created>
  <dc:creator>Tamara Howarth</dc:creator>
  <dc:description/>
  <dc:language>en-CA</dc:language>
  <cp:lastModifiedBy>Tamara Howarth</cp:lastModifiedBy>
  <cp:lastPrinted>2000-10-17T09:05:00Z</cp:lastPrinted>
  <dcterms:modified xsi:type="dcterms:W3CDTF">2000-10-17T13:35:00Z</dcterms:modified>
  <cp:revision>9</cp:revision>
  <dc:subject/>
  <dc:title>PRESS RELEASE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50235361.2</vt:lpwstr>
  </property>
</Properties>
</file>