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ind w:firstLine="7200" w:end="0"/>
        <w:rPr/>
      </w:pPr>
      <w:r>
        <w:rPr>
          <w:sz w:val="24"/>
          <w:szCs w:val="24"/>
        </w:rPr>
        <w:t xml:space="preserve">  </w:t>
      </w:r>
      <w:r>
        <w:rPr>
          <w:b/>
          <w:bCs/>
          <w:sz w:val="24"/>
          <w:szCs w:val="24"/>
        </w:rPr>
        <w:t>ATTACHMENT A</w:t>
      </w:r>
    </w:p>
    <w:p>
      <w:pPr>
        <w:pStyle w:val="Normal"/>
        <w:widowControl w:val="false"/>
        <w:rPr>
          <w:b/>
          <w:bCs/>
          <w:sz w:val="24"/>
          <w:szCs w:val="24"/>
        </w:rPr>
      </w:pPr>
      <w:r>
        <w:rPr>
          <w:b/>
          <w:bCs/>
          <w:sz w:val="24"/>
          <w:szCs w:val="24"/>
        </w:rPr>
      </w:r>
    </w:p>
    <w:p>
      <w:pPr>
        <w:pStyle w:val="Normal"/>
        <w:widowControl w:val="false"/>
        <w:rPr>
          <w:b/>
          <w:bCs/>
          <w:sz w:val="24"/>
          <w:szCs w:val="24"/>
        </w:rPr>
      </w:pPr>
      <w:r>
        <w:rPr>
          <w:b/>
          <w:bCs/>
          <w:sz w:val="24"/>
          <w:szCs w:val="24"/>
        </w:rPr>
      </w:r>
    </w:p>
    <w:p>
      <w:pPr>
        <w:pStyle w:val="Normal"/>
        <w:widowControl w:val="false"/>
        <w:rPr>
          <w:b/>
          <w:bCs/>
          <w:sz w:val="24"/>
          <w:szCs w:val="24"/>
        </w:rPr>
      </w:pPr>
      <w:r>
        <w:rPr>
          <w:b/>
          <w:bCs/>
          <w:sz w:val="24"/>
          <w:szCs w:val="24"/>
        </w:rPr>
      </w:r>
    </w:p>
    <w:p>
      <w:pPr>
        <w:pStyle w:val="Normal"/>
        <w:widowControl w:val="false"/>
        <w:rPr>
          <w:b/>
          <w:bCs/>
          <w:sz w:val="24"/>
          <w:szCs w:val="24"/>
        </w:rPr>
      </w:pPr>
      <w:r>
        <w:rPr>
          <w:b/>
          <w:bCs/>
          <w:sz w:val="24"/>
          <w:szCs w:val="24"/>
        </w:rPr>
      </w:r>
    </w:p>
    <w:p>
      <w:pPr>
        <w:pStyle w:val="Normal"/>
        <w:widowControl w:val="false"/>
        <w:rPr>
          <w:b/>
          <w:bCs/>
          <w:sz w:val="24"/>
          <w:szCs w:val="24"/>
        </w:rPr>
      </w:pPr>
      <w:r>
        <w:rPr>
          <w:b/>
          <w:bCs/>
          <w:sz w:val="24"/>
          <w:szCs w:val="24"/>
        </w:rPr>
        <w:t>MEMORANDUM FOR THE SECRETARY OF ENERGY</w:t>
      </w:r>
    </w:p>
    <w:p>
      <w:pPr>
        <w:pStyle w:val="Normal"/>
        <w:widowControl w:val="false"/>
        <w:rPr>
          <w:b/>
          <w:bCs/>
          <w:sz w:val="24"/>
          <w:szCs w:val="24"/>
        </w:rPr>
      </w:pPr>
      <w:r>
        <w:rPr>
          <w:b/>
          <w:bCs/>
          <w:sz w:val="24"/>
          <w:szCs w:val="24"/>
        </w:rPr>
      </w:r>
    </w:p>
    <w:p>
      <w:pPr>
        <w:pStyle w:val="Normal"/>
        <w:widowControl w:val="false"/>
        <w:spacing w:lineRule="auto" w:line="480"/>
        <w:rPr>
          <w:b/>
          <w:bCs/>
          <w:sz w:val="24"/>
          <w:szCs w:val="24"/>
        </w:rPr>
      </w:pPr>
      <w:r>
        <w:rPr>
          <w:b/>
          <w:bCs/>
          <w:sz w:val="24"/>
          <w:szCs w:val="24"/>
        </w:rPr>
      </w:r>
    </w:p>
    <w:p>
      <w:pPr>
        <w:pStyle w:val="Normal"/>
        <w:widowControl w:val="false"/>
        <w:spacing w:lineRule="auto" w:line="480"/>
        <w:rPr>
          <w:sz w:val="24"/>
          <w:szCs w:val="24"/>
        </w:rPr>
      </w:pPr>
      <w:r>
        <w:rPr>
          <w:sz w:val="24"/>
          <w:szCs w:val="24"/>
        </w:rPr>
        <w:t xml:space="preserve">There is a current electric energy shortage in California that also threatens the continued availability of natural gas to consumers in the central and northern regions of California.  Continuity of supply in those regions of California is dependent on the continued ability of the natural gas distributor in those regions to acquire and transport natural gas to all consumers throughout those regions. </w:t>
      </w:r>
    </w:p>
    <w:p>
      <w:pPr>
        <w:pStyle w:val="Normal"/>
        <w:widowControl w:val="false"/>
        <w:spacing w:lineRule="auto" w:line="480"/>
        <w:rPr>
          <w:sz w:val="24"/>
          <w:szCs w:val="24"/>
        </w:rPr>
      </w:pPr>
      <w:r>
        <w:rPr>
          <w:sz w:val="24"/>
          <w:szCs w:val="24"/>
        </w:rPr>
      </w:r>
    </w:p>
    <w:p>
      <w:pPr>
        <w:pStyle w:val="Normal"/>
        <w:widowControl w:val="false"/>
        <w:spacing w:lineRule="auto" w:line="480"/>
        <w:rPr/>
      </w:pPr>
      <w:r>
        <w:rPr>
          <w:sz w:val="24"/>
          <w:szCs w:val="24"/>
        </w:rPr>
        <w:t xml:space="preserve">Therefore I find and declare, pursuant to title III of the Natural Gas Policy Act of 1978 (15 U.S.C. 3361 through 3364) and section 607 of the Public Utility Regulatory Policies Act of 1978 (15 U.S.C. 717z), that a natural gas supply emergency exists in those regions, and that exercise of the emergency authorities there provided for is reasonably necessary to assist in meeting natural gas requirements for high priority uses.  I find that this emergency endangers continued supply of natural gas for high priority uses, which I determine under the Natural Gas Policy Act to include use for generating electricity.  I also find that natural gas supplies within those regions of California are scarce, critical and essential within the meaning of the Defense Production Act of 1950 (50 U.S.C. App. 2061 </w:t>
      </w:r>
      <w:r>
        <w:rPr>
          <w:sz w:val="24"/>
          <w:szCs w:val="24"/>
          <w:u w:val="single"/>
        </w:rPr>
        <w:t>et</w:t>
      </w:r>
      <w:r>
        <w:rPr>
          <w:sz w:val="24"/>
          <w:szCs w:val="24"/>
        </w:rPr>
        <w:t xml:space="preserve"> </w:t>
      </w:r>
      <w:r>
        <w:rPr>
          <w:sz w:val="24"/>
          <w:szCs w:val="24"/>
          <w:u w:val="single"/>
        </w:rPr>
        <w:t>seq</w:t>
      </w:r>
      <w:r>
        <w:rPr>
          <w:sz w:val="24"/>
          <w:szCs w:val="24"/>
        </w:rPr>
        <w:t xml:space="preserve">.), and that assuring maintenance of natural gas supplies to those regions of California cannot reasonably be accomplished without use of these authorities and is necessary and appropriate to maximize domestic energy supplies (including electricity) and to promote the national defense. </w:t>
      </w:r>
    </w:p>
    <w:p>
      <w:pPr>
        <w:sectPr>
          <w:type w:val="nextPage"/>
          <w:pgSz w:w="12240" w:h="15840"/>
          <w:pgMar w:left="1440" w:right="1440" w:gutter="0" w:header="0" w:top="1440" w:footer="0" w:bottom="1440"/>
          <w:pgNumType w:fmt="decimal"/>
          <w:formProt w:val="false"/>
          <w:textDirection w:val="lrTb"/>
        </w:sectPr>
      </w:pP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z w:val="24"/>
          <w:szCs w:val="24"/>
        </w:rPr>
        <w:t>Accordingly, you are authorized and directed as follows:</w:t>
      </w:r>
    </w:p>
    <w:p>
      <w:pPr>
        <w:pStyle w:val="Normal"/>
        <w:widowControl w:val="false"/>
        <w:spacing w:lineRule="auto" w:line="480"/>
        <w:rPr>
          <w:sz w:val="24"/>
          <w:szCs w:val="24"/>
        </w:rPr>
      </w:pPr>
      <w:r>
        <w:rPr>
          <w:sz w:val="24"/>
          <w:szCs w:val="24"/>
        </w:rPr>
      </w:r>
    </w:p>
    <w:p>
      <w:pPr>
        <w:pStyle w:val="Normal"/>
        <w:widowControl w:val="false"/>
        <w:tabs>
          <w:tab w:val="clear" w:pos="720"/>
          <w:tab w:val="left" w:pos="-1440" w:leader="none"/>
        </w:tabs>
        <w:spacing w:lineRule="auto" w:line="480"/>
        <w:ind w:hanging="720" w:start="720" w:end="0"/>
        <w:rPr/>
      </w:pPr>
      <w:r>
        <w:rPr>
          <w:sz w:val="24"/>
          <w:szCs w:val="24"/>
        </w:rPr>
        <w:fldChar w:fldCharType="begin"/>
      </w:r>
      <w:r>
        <w:rPr>
          <w:sz w:val="24"/>
          <w:szCs w:val="24"/>
        </w:rPr>
        <w:instrText xml:space="preserve"> SEQ AutoList1_0 \* ARABIC </w:instrText>
      </w:r>
      <w:r>
        <w:rPr>
          <w:sz w:val="24"/>
          <w:szCs w:val="24"/>
        </w:rPr>
        <w:fldChar w:fldCharType="separate"/>
      </w:r>
      <w:r>
        <w:rPr>
          <w:sz w:val="24"/>
          <w:szCs w:val="24"/>
        </w:rPr>
        <w:t>1</w:t>
      </w:r>
      <w:r>
        <w:rPr>
          <w:sz w:val="24"/>
          <w:szCs w:val="24"/>
        </w:rPr>
        <w:fldChar w:fldCharType="end"/>
      </w:r>
      <w:r>
        <w:rPr>
          <w:sz w:val="24"/>
          <w:szCs w:val="24"/>
        </w:rPr>
        <w:t>.</w:t>
        <w:tab/>
        <w:t>To exercise all the authorities previously delegated to the Secretary of Energy, without consultation with or prior approval of any other officer, to act in accordance with the findings herein pursuant to title III of the Natural Gas Policy Act of 1978 and section 607 of the Public Utility Regulatory Policies Act of 1978;</w:t>
      </w:r>
    </w:p>
    <w:p>
      <w:pPr>
        <w:pStyle w:val="Normal"/>
        <w:widowControl w:val="false"/>
        <w:spacing w:lineRule="auto" w:line="480"/>
        <w:ind w:firstLine="720" w:end="0"/>
        <w:rPr>
          <w:sz w:val="24"/>
          <w:szCs w:val="24"/>
        </w:rPr>
      </w:pPr>
      <w:r>
        <w:rPr>
          <w:sz w:val="24"/>
          <w:szCs w:val="24"/>
        </w:rPr>
      </w:r>
    </w:p>
    <w:p>
      <w:pPr>
        <w:pStyle w:val="Normal"/>
        <w:widowControl w:val="false"/>
        <w:tabs>
          <w:tab w:val="clear" w:pos="720"/>
          <w:tab w:val="left" w:pos="-1440" w:leader="none"/>
        </w:tabs>
        <w:spacing w:lineRule="auto" w:line="480"/>
        <w:ind w:hanging="720" w:start="720" w:end="0"/>
        <w:rPr/>
      </w:pPr>
      <w:r>
        <w:rPr>
          <w:sz w:val="24"/>
          <w:szCs w:val="24"/>
        </w:rPr>
        <w:fldChar w:fldCharType="begin"/>
      </w:r>
      <w:r>
        <w:rPr>
          <w:sz w:val="24"/>
          <w:szCs w:val="24"/>
        </w:rPr>
        <w:instrText xml:space="preserve"> SEQ AutoList1_0 \* ARABIC </w:instrText>
      </w:r>
      <w:r>
        <w:rPr>
          <w:sz w:val="24"/>
          <w:szCs w:val="24"/>
        </w:rPr>
        <w:fldChar w:fldCharType="separate"/>
      </w:r>
      <w:r>
        <w:rPr>
          <w:sz w:val="24"/>
          <w:szCs w:val="24"/>
        </w:rPr>
        <w:t>2</w:t>
      </w:r>
      <w:r>
        <w:rPr>
          <w:sz w:val="24"/>
          <w:szCs w:val="24"/>
        </w:rPr>
        <w:fldChar w:fldCharType="end"/>
      </w:r>
      <w:r>
        <w:rPr>
          <w:sz w:val="24"/>
          <w:szCs w:val="24"/>
        </w:rPr>
        <w:t>.</w:t>
        <w:tab/>
        <w:t>To exercise as to continuity of supplies of natural gas to the central and northern regions of California all authorities under the Defense Production Act of 1950, in accordance with the findings of scarcity, essentiality, and criticality made herein, pursuant to Executive Order 11790, as continued in force by Executive Order 12919, without the prior approval of any other officer, notwithstanding any procedural provisions generally specified in regulations that ordinarily would govern the Secretary of Energy’s invocation of the authorities under the Defense Production Act of 1950, including in particular those under section 101(c) thereof (50 U.S.C. App. 2071(c)).</w:t>
      </w: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trike/>
          <w:sz w:val="24"/>
          <w:szCs w:val="24"/>
        </w:rPr>
        <w:t>The declaration of a natural gas supply emergency shall remain effect for 120 days from the date of this memorandum unless sooner revoked by the President.</w:t>
      </w: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trike/>
          <w:sz w:val="24"/>
          <w:szCs w:val="24"/>
        </w:rPr>
        <w:t>The instructions and authorizations contained in this memorandum shall remain in force and effect until amended or revoked by the President.</w:t>
      </w:r>
    </w:p>
    <w:p>
      <w:pPr>
        <w:pStyle w:val="Normal"/>
        <w:widowControl w:val="false"/>
        <w:spacing w:lineRule="auto" w:line="480"/>
        <w:rPr>
          <w:sz w:val="24"/>
          <w:szCs w:val="24"/>
        </w:rPr>
      </w:pPr>
      <w:r>
        <w:rPr>
          <w:sz w:val="24"/>
          <w:szCs w:val="24"/>
        </w:rPr>
      </w:r>
    </w:p>
    <w:p>
      <w:pPr>
        <w:pStyle w:val="Normal"/>
        <w:widowControl w:val="false"/>
        <w:spacing w:lineRule="auto" w:line="480"/>
        <w:rPr/>
      </w:pPr>
      <w:r>
        <w:rPr>
          <w:sz w:val="24"/>
          <w:szCs w:val="24"/>
        </w:rPr>
        <w:t xml:space="preserve">A copy of this memorandum shall be published in the </w:t>
      </w:r>
      <w:r>
        <w:rPr>
          <w:sz w:val="24"/>
          <w:szCs w:val="24"/>
          <w:u w:val="single"/>
        </w:rPr>
        <w:t>Federal</w:t>
      </w:r>
      <w:r>
        <w:rPr>
          <w:sz w:val="24"/>
          <w:szCs w:val="24"/>
        </w:rPr>
        <w:t xml:space="preserve"> </w:t>
      </w:r>
      <w:r>
        <w:rPr>
          <w:sz w:val="24"/>
          <w:szCs w:val="24"/>
          <w:u w:val="single"/>
        </w:rPr>
        <w:t>Register</w:t>
      </w:r>
      <w:r>
        <w:rPr>
          <w:sz w:val="24"/>
          <w:szCs w:val="24"/>
        </w:rPr>
        <w:t>.</w:t>
      </w: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z w:val="24"/>
          <w:szCs w:val="24"/>
        </w:rPr>
      </w:r>
    </w:p>
    <w:p>
      <w:pPr>
        <w:pStyle w:val="Normal"/>
        <w:widowControl w:val="false"/>
        <w:spacing w:lineRule="auto" w:line="480"/>
        <w:ind w:firstLine="4320" w:end="0"/>
        <w:rPr>
          <w:sz w:val="24"/>
          <w:szCs w:val="24"/>
        </w:rPr>
      </w:pPr>
      <w:r>
        <w:rPr>
          <w:sz w:val="24"/>
          <w:szCs w:val="24"/>
        </w:rPr>
        <w:t>William J. Clinton</w:t>
      </w:r>
    </w:p>
    <w:p>
      <w:pPr>
        <w:pStyle w:val="Normal"/>
        <w:widowControl w:val="false"/>
        <w:spacing w:lineRule="auto" w:line="480"/>
        <w:rPr>
          <w:sz w:val="24"/>
          <w:szCs w:val="24"/>
        </w:rPr>
      </w:pPr>
      <w:r>
        <w:rPr>
          <w:sz w:val="24"/>
          <w:szCs w:val="24"/>
        </w:rPr>
      </w:r>
    </w:p>
    <w:p>
      <w:pPr>
        <w:pStyle w:val="Normal"/>
        <w:widowControl w:val="false"/>
        <w:spacing w:lineRule="auto" w:line="480"/>
        <w:rPr>
          <w:sz w:val="24"/>
          <w:szCs w:val="24"/>
        </w:rPr>
      </w:pPr>
      <w:r>
        <w:rPr>
          <w:sz w:val="24"/>
          <w:szCs w:val="24"/>
        </w:rPr>
      </w:r>
    </w:p>
    <w:sect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2001-01-19T20:01:00Z</dcterms:created>
  <dc:creator>A Valued Microsoft Customer</dc:creator>
  <dc:description/>
  <dc:language>en-CA</dc:language>
  <cp:lastModifiedBy>A Valued Microsoft Customer</cp:lastModifiedBy>
  <cp:lastPrinted>2001-01-19T14:20:00Z</cp:lastPrinted>
  <dcterms:modified xsi:type="dcterms:W3CDTF">2001-01-19T20:01:00Z</dcterms:modified>
  <cp:revision>2</cp:revision>
  <dc:subject/>
  <dc:title>  ATTACHMENT A</dc:title>
</cp:coreProperties>
</file>