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Presentation of Enron Corp.</w:t>
      </w:r>
    </w:p>
    <w:p>
      <w:pPr>
        <w:pStyle w:val="Normal"/>
        <w:jc w:val="center"/>
        <w:rPr>
          <w:b/>
          <w:bCs/>
        </w:rPr>
      </w:pPr>
      <w:r>
        <w:rPr>
          <w:b/>
          <w:bCs/>
        </w:rPr>
        <w:t>To New Mexico Public Regulation Commission</w:t>
      </w:r>
    </w:p>
    <w:p>
      <w:pPr>
        <w:pStyle w:val="Normal"/>
        <w:jc w:val="center"/>
        <w:rPr>
          <w:b/>
          <w:bCs/>
        </w:rPr>
      </w:pPr>
      <w:r>
        <w:rPr>
          <w:b/>
          <w:bCs/>
        </w:rPr>
        <w:t>On Electric Industry Restructuring</w:t>
      </w:r>
    </w:p>
    <w:p>
      <w:pPr>
        <w:pStyle w:val="Normal"/>
        <w:jc w:val="center"/>
        <w:rPr>
          <w:b/>
          <w:bCs/>
        </w:rPr>
      </w:pPr>
      <w:r>
        <w:rPr>
          <w:b/>
          <w:bCs/>
        </w:rPr>
      </w:r>
    </w:p>
    <w:p>
      <w:pPr>
        <w:pStyle w:val="Normal"/>
        <w:jc w:val="center"/>
        <w:rPr>
          <w:b/>
          <w:bCs/>
        </w:rPr>
      </w:pPr>
      <w:r>
        <w:rPr>
          <w:b/>
          <w:bCs/>
        </w:rPr>
        <w:t>Septmber 26, 2000</w:t>
      </w:r>
    </w:p>
    <w:p>
      <w:pPr>
        <w:pStyle w:val="Normal"/>
        <w:jc w:val="center"/>
        <w:rPr>
          <w:b/>
          <w:bCs/>
        </w:rPr>
      </w:pPr>
      <w:r>
        <w:rPr>
          <w:b/>
          <w:bCs/>
        </w:rPr>
      </w:r>
    </w:p>
    <w:p>
      <w:pPr>
        <w:pStyle w:val="BodyText"/>
        <w:rPr/>
      </w:pPr>
      <w:r>
        <w:rPr/>
        <w:t>My name is Leslie Lawner and I am a director of Government Affairs for Enron Corp.  I appreciate the opportunity to address the Commission today on recent developments in the electric industry in the U.S. and particularly California, and what we feel this means to the New Mexico restructuring efforts.</w:t>
      </w:r>
    </w:p>
    <w:p>
      <w:pPr>
        <w:pStyle w:val="Normal"/>
        <w:jc w:val="both"/>
        <w:rPr/>
      </w:pPr>
      <w:r>
        <w:rPr/>
      </w:r>
    </w:p>
    <w:p>
      <w:pPr>
        <w:pStyle w:val="Normal"/>
        <w:jc w:val="both"/>
        <w:rPr/>
      </w:pPr>
      <w:r>
        <w:rPr/>
        <w:t>Enron Corp. develops and operates networks, primarily in the energy and communications industries.  We combine physical assets and contracts to make markets in energy and related commodities as well as bandwidth.  Enron is the largest buyer and seller of electric power in North America and participates in power markets throughout the world.  We are very active in the California market in particular.</w:t>
      </w:r>
    </w:p>
    <w:p>
      <w:pPr>
        <w:pStyle w:val="Normal"/>
        <w:jc w:val="both"/>
        <w:rPr/>
      </w:pPr>
      <w:r>
        <w:rPr/>
      </w:r>
    </w:p>
    <w:p>
      <w:pPr>
        <w:pStyle w:val="Normal"/>
        <w:jc w:val="both"/>
        <w:rPr/>
      </w:pPr>
      <w:r>
        <w:rPr/>
        <w:t>Our perspective on current issues is uniquely objective.  We buy and sell power, we are neither a net generator or net consumer.  We make markets in power so that we can serve both producers and consumers.  We sell protection from price volatility.  Our interest in markets in simply to make sure that the markets work effectively.  That lets us do our business.</w:t>
      </w:r>
    </w:p>
    <w:p>
      <w:pPr>
        <w:pStyle w:val="Normal"/>
        <w:jc w:val="both"/>
        <w:rPr/>
      </w:pPr>
      <w:r>
        <w:rPr/>
      </w:r>
    </w:p>
    <w:p>
      <w:pPr>
        <w:pStyle w:val="Normal"/>
        <w:jc w:val="both"/>
        <w:rPr/>
      </w:pPr>
      <w:r>
        <w:rPr/>
        <w:t>We actively participated in the legislative process that led to adoption of the New Mexico Electric Industry Restructuring Act and in the rules that the PRC adopted or is considering under that law.  We can see that the events in California this summer have created strong ripples in the restructuring process.  I will give our interpretation of the events this summer.  Overall, Enron believes that the California experience does not call for retreating from the current path toward opening markets.  Rather, the events there should be analyzed so that we in New Mexico do not make the same mistakes that were made there.</w:t>
      </w:r>
    </w:p>
    <w:p>
      <w:pPr>
        <w:pStyle w:val="Normal"/>
        <w:jc w:val="both"/>
        <w:rPr/>
      </w:pPr>
      <w:r>
        <w:rPr/>
      </w:r>
    </w:p>
    <w:p>
      <w:pPr>
        <w:pStyle w:val="Normal"/>
        <w:jc w:val="both"/>
        <w:rPr/>
      </w:pPr>
      <w:r>
        <w:rPr/>
        <w:t xml:space="preserve">The causes of the problems in California  (price spikes and threats to reliability) are straightforward.  A booming economy has increased power demand in California and throughout the west.  Siting new power generation facilities in California is extremely difficult and supply has not kept pace with demand.  Hydro capacity from the Northwest has fallen off, exacerbating supply shortages.  Inflexible tariff and contract structures in California have prevented demand from responding to rising prices.  Finally, utilities in California, who still control most of the residential load in the state, had limited ability to enter into hedging arrangements to manage price volatility. </w:t>
      </w:r>
    </w:p>
    <w:p>
      <w:pPr>
        <w:pStyle w:val="Normal"/>
        <w:jc w:val="both"/>
        <w:rPr/>
      </w:pPr>
      <w:r>
        <w:rPr/>
      </w:r>
    </w:p>
    <w:p>
      <w:pPr>
        <w:pStyle w:val="Normal"/>
        <w:jc w:val="both"/>
        <w:rPr/>
      </w:pPr>
      <w:r>
        <w:rPr/>
        <w:t>The wholesale market in California contributed to the recent problems as well.  The wholesale market structure there forces participants to do much of their business through the day-ahead, day-of and real time markets, particularly the California PX.  The short term markets are typically the most volatile.  Let me read from a paper written by the Electric Power Supply Association:</w:t>
      </w:r>
    </w:p>
    <w:p>
      <w:pPr>
        <w:pStyle w:val="Normal"/>
        <w:jc w:val="both"/>
        <w:rPr/>
      </w:pPr>
      <w:r>
        <w:rPr/>
        <w:t>Generators and marketers “have invested millions of dollars in California assets and prefer a strategy that permits most, if not all, of the risks to be hedged in forward markets.  Thus, many generators sold power ahead of the summer.  Data from the CalPX shows that from February to May, forward contracts for June, July and August were available for $55 to $65 a megawatt hour.  By August 2000, forward prices for September were closer to $150, through these prices fell below $100 by the end of August.</w:t>
      </w:r>
    </w:p>
    <w:p>
      <w:pPr>
        <w:pStyle w:val="Normal"/>
        <w:jc w:val="both"/>
        <w:rPr/>
      </w:pPr>
      <w:r>
        <w:rPr/>
      </w:r>
    </w:p>
    <w:p>
      <w:pPr>
        <w:pStyle w:val="Normal"/>
        <w:jc w:val="both"/>
        <w:rPr/>
      </w:pPr>
      <w:r>
        <w:rPr/>
        <w:t>California’s rules, however, limit the ability of utilities to access the hedging tools normally available to load serving entities.  Utilities are permitted to buy only a limited portion of their load in the CalPX’s block forwards market, which mitigates some risk, but until recently were not permitted to engage in forward bilateral contracts, options or other risk mitigation tools otherwise in use in the wholesale market.  With strict limitations on their use of forward market and other risk management tools, the utilities have been forced to purchase significant portions of their supply in the spot market.</w:t>
      </w:r>
    </w:p>
    <w:p>
      <w:pPr>
        <w:pStyle w:val="Normal"/>
        <w:jc w:val="both"/>
        <w:rPr/>
      </w:pPr>
      <w:r>
        <w:rPr/>
      </w:r>
    </w:p>
    <w:p>
      <w:pPr>
        <w:pStyle w:val="Normal"/>
        <w:jc w:val="both"/>
        <w:rPr/>
      </w:pPr>
      <w:r>
        <w:rPr/>
        <w:t>Price caps have also created a problem in the Cal ISO’s real-time balancing market, driving the load serving entities in California to under-schedule their power needs in the day-ahead markets as a means of achieving a lower overall energy rate.  The balancing market provides a free hedging product, allowing utilities to transfer purchases to the real-time market when the price in the day-ahead market exceed the cap set by the Cal ISO.”</w:t>
      </w:r>
    </w:p>
    <w:p>
      <w:pPr>
        <w:pStyle w:val="Normal"/>
        <w:jc w:val="both"/>
        <w:rPr/>
      </w:pPr>
      <w:r>
        <w:rPr/>
      </w:r>
    </w:p>
    <w:p>
      <w:pPr>
        <w:pStyle w:val="Normal"/>
        <w:jc w:val="both"/>
        <w:rPr/>
      </w:pPr>
      <w:r>
        <w:rPr/>
        <w:t>This same report notes that only 2% of California’s customers have switched to competitive suppliers (about 12.5% of the load), and this almost exclusively to subsidized green products.  California’s approach to retail choice involved freezing rates and did not provide adequate shopping credits to third party energy providers.  When the rate freeze in San Diego Gas and Electric’s service territory ended, the utility was left as the default supplier and no real options were out there for the consumer.  The retail customers were left exposed to volatile prices.  This is not an indictment of free markets, it is the result of flawed policies that allowed rate freezes, price caps and incumbent advantage to skew the market opening.</w:t>
      </w:r>
    </w:p>
    <w:p>
      <w:pPr>
        <w:pStyle w:val="Normal"/>
        <w:jc w:val="both"/>
        <w:rPr/>
      </w:pPr>
      <w:r>
        <w:rPr/>
      </w:r>
    </w:p>
    <w:p>
      <w:pPr>
        <w:pStyle w:val="Normal"/>
        <w:jc w:val="both"/>
        <w:rPr/>
      </w:pPr>
      <w:r>
        <w:rPr/>
        <w:t>From our viewpoint, the solutions are these:</w:t>
      </w:r>
    </w:p>
    <w:p>
      <w:pPr>
        <w:pStyle w:val="Normal"/>
        <w:jc w:val="both"/>
        <w:rPr/>
      </w:pPr>
      <w:r>
        <w:rPr/>
      </w:r>
    </w:p>
    <w:p>
      <w:pPr>
        <w:pStyle w:val="Normal"/>
        <w:numPr>
          <w:ilvl w:val="0"/>
          <w:numId w:val="1"/>
        </w:numPr>
        <w:jc w:val="both"/>
        <w:rPr/>
      </w:pPr>
      <w:r>
        <w:rPr/>
        <w:t>Avoid the lure of setting price caps, as they make matters worse in the long run.  Retail caps will keep overall bills high.  Wholesale caps will deter development.</w:t>
      </w:r>
    </w:p>
    <w:p>
      <w:pPr>
        <w:pStyle w:val="Normal"/>
        <w:numPr>
          <w:ilvl w:val="0"/>
          <w:numId w:val="1"/>
        </w:numPr>
        <w:jc w:val="both"/>
        <w:rPr/>
      </w:pPr>
      <w:r>
        <w:rPr/>
        <w:t>One-stop shopping for plant siting.</w:t>
      </w:r>
    </w:p>
    <w:p>
      <w:pPr>
        <w:pStyle w:val="Normal"/>
        <w:numPr>
          <w:ilvl w:val="0"/>
          <w:numId w:val="1"/>
        </w:numPr>
        <w:jc w:val="both"/>
        <w:rPr/>
      </w:pPr>
      <w:r>
        <w:rPr/>
        <w:t>Wholesale and transmission issues must be addressed.  All transmission into, out of and within a state must be available on a non-discriminatory basis.</w:t>
      </w:r>
    </w:p>
    <w:p>
      <w:pPr>
        <w:pStyle w:val="Normal"/>
        <w:numPr>
          <w:ilvl w:val="0"/>
          <w:numId w:val="1"/>
        </w:numPr>
        <w:jc w:val="both"/>
        <w:rPr/>
      </w:pPr>
      <w:r>
        <w:rPr/>
        <w:t>Retail markets must be properly structured, with care taken to assure no inherent advantage for the incumbents, adequate shopping credits, and opportunities for new entrants to offer competitively-priced, innovative products and services.</w:t>
      </w:r>
    </w:p>
    <w:p>
      <w:pPr>
        <w:pStyle w:val="Normal"/>
        <w:jc w:val="both"/>
        <w:rPr/>
      </w:pPr>
      <w:r>
        <w:rPr/>
      </w:r>
    </w:p>
    <w:p>
      <w:pPr>
        <w:pStyle w:val="Normal"/>
        <w:jc w:val="both"/>
        <w:rPr/>
      </w:pPr>
      <w:r>
        <w:rPr/>
        <w:t>Thank you for this opportunity.</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2000-09-22T14:43:00Z</dcterms:created>
  <dc:creator>llawner</dc:creator>
  <dc:description/>
  <dc:language>en-CA</dc:language>
  <cp:lastModifiedBy>llawner</cp:lastModifiedBy>
  <cp:lastPrinted>2000-09-25T09:30:00Z</cp:lastPrinted>
  <dcterms:modified xsi:type="dcterms:W3CDTF">2000-09-25T13:00:00Z</dcterms:modified>
  <cp:revision>3</cp:revision>
  <dc:subject/>
  <dc:title>Presentation of Enron Corp</dc:title>
</cp:coreProperties>
</file>