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3"/>
          <w:szCs w:val="23"/>
        </w:rPr>
      </w:pPr>
      <w:r>
        <w:rPr>
          <w:sz w:val="23"/>
          <w:szCs w:val="23"/>
        </w:rPr>
        <w:t>AGRICULTURAL TRADING</w:t>
      </w:r>
    </w:p>
    <w:p>
      <w:pPr>
        <w:pStyle w:val="Normal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Legal and Regulatory Issues</w:t>
      </w:r>
    </w:p>
    <w:p>
      <w:pPr>
        <w:pStyle w:val="Normal"/>
        <w:spacing w:before="240" w:after="0"/>
        <w:jc w:val="center"/>
        <w:rPr>
          <w:sz w:val="23"/>
          <w:szCs w:val="23"/>
        </w:rPr>
      </w:pPr>
      <w:r>
        <w:rPr>
          <w:sz w:val="23"/>
          <w:szCs w:val="23"/>
        </w:rPr>
        <w:t>Enron North America Legal Department (Nov. 7, 2000)</w:t>
      </w:r>
    </w:p>
    <w:p>
      <w:pPr>
        <w:pStyle w:val="Heading1"/>
        <w:rPr/>
      </w:pPr>
      <w:r>
        <w:rPr/>
        <w:t>Overview – Why is Agriculture Different?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Commodities Futures Trading Commission (“CFTC”) 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Until 1974, a subdivision of the U.S. Department of Agriculture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Today, its oversight committees are still the House and Senate Agriculture committees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Regulatory objectives – protect farmers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As parties to transactions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1440" w:leader="none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Where farmer is not party to transaction, protect prices received by farmers 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General Implications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>Black-letter” rules are more restrictive, especially on over-the-counter options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Regulatory climate is different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Different philosophies among the regulators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Legal/Regulatory Risks of Non-Complying Transaction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CFTC Enforcement Action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Fines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Negative publicity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Damage to CFTC licenses in other businesses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Transaction is “set aside,” i.e., is unenforceable</w:t>
      </w:r>
    </w:p>
    <w:p>
      <w:pPr>
        <w:pStyle w:val="Heading1"/>
        <w:spacing w:before="120" w:after="0"/>
        <w:rPr/>
      </w:pPr>
      <w:r>
        <w:rPr/>
        <w:t>Futures/Over-the-Counter Derivatives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Commodity Exchange Act of 1974 – “futures/forward”</w:t>
      </w:r>
    </w:p>
    <w:p>
      <w:pPr>
        <w:pStyle w:val="Normal"/>
        <w:numPr>
          <w:ilvl w:val="2"/>
          <w:numId w:val="1"/>
        </w:numPr>
        <w:spacing w:before="120" w:after="0"/>
        <w:ind w:hanging="720" w:start="2340" w:end="0"/>
        <w:jc w:val="both"/>
        <w:rPr>
          <w:sz w:val="23"/>
          <w:szCs w:val="23"/>
        </w:rPr>
      </w:pPr>
      <w:r>
        <w:rPr>
          <w:sz w:val="23"/>
          <w:szCs w:val="23"/>
        </w:rPr>
        <w:t>All “futures” must be traded on a “designated contract market”</w:t>
      </w:r>
    </w:p>
    <w:p>
      <w:pPr>
        <w:pStyle w:val="Normal"/>
        <w:numPr>
          <w:ilvl w:val="2"/>
          <w:numId w:val="1"/>
        </w:numPr>
        <w:spacing w:before="120" w:after="0"/>
        <w:ind w:hanging="720" w:start="2340" w:end="0"/>
        <w:jc w:val="both"/>
        <w:rPr>
          <w:sz w:val="23"/>
          <w:szCs w:val="23"/>
        </w:rPr>
      </w:pPr>
      <w:r>
        <w:rPr>
          <w:sz w:val="23"/>
          <w:szCs w:val="23"/>
        </w:rPr>
        <w:t>All “forward” contracts are outside of CFTC’s regulatory scope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Swaps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Evolved in a void of black-letter law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1992/1993 – Combination of Congressional legislation and CFTC rulemaking – CFTC Rule 35 provides “safe harbor” for OTC swap transactions – must be between “eligible swap participants”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No special rules/restrictions for agricultural commodities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Options – General – OTC options on </w:t>
      </w:r>
      <w:r>
        <w:rPr>
          <w:sz w:val="23"/>
          <w:szCs w:val="23"/>
          <w:u w:val="single"/>
        </w:rPr>
        <w:t>all</w:t>
      </w:r>
      <w:r>
        <w:rPr>
          <w:sz w:val="23"/>
          <w:szCs w:val="23"/>
        </w:rPr>
        <w:t xml:space="preserve"> commodities must comply with the “trade option” exemption (CFTC Rule 32)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Physical requirement – </w:t>
      </w:r>
      <w:r>
        <w:rPr>
          <w:sz w:val="23"/>
          <w:szCs w:val="23"/>
          <w:u w:val="single"/>
        </w:rPr>
        <w:t>offeree</w:t>
      </w:r>
      <w:r>
        <w:rPr>
          <w:sz w:val="23"/>
          <w:szCs w:val="23"/>
        </w:rPr>
        <w:t xml:space="preserve"> must be "producer, processor, or commercial user of, or a merchant handling, the commodity" that enters into option "solely for purposes relating to its business as such" (CFTC Rule 32.4(a))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Offeror/offeree distinction</w:t>
      </w:r>
    </w:p>
    <w:p>
      <w:pPr>
        <w:pStyle w:val="Normal"/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D.</w:t>
        <w:tab/>
        <w:t>OTC Options – Grains/Meats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Even within “trade option” safe harbor, OTC options are still generally prohibited on “enumerated agricultural commodities”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Recent exception – 1998 enactment of “agricultural trade option merchant” (“ATOM”) rule; revised effective Feb. 2000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Subject to various rules and restrictions, licensed ATOM may deal in OTC options on grains/meats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Stringent recordkeeping, disclosure, segregation of funds requirements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Physical requirement for ATOM licensee unclear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All counterparties would be subject to physical requirement (tracks 32.4(a) language – see II(C)(1) above)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No net worth requirements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Certain restrictions on transactions with “producers” (i.e. farmers)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Feb. 2000 revision to rules provides “safe harbor” – ATOM license </w:t>
      </w:r>
      <w:r>
        <w:rPr>
          <w:sz w:val="23"/>
          <w:szCs w:val="23"/>
          <w:u w:val="single"/>
        </w:rPr>
        <w:t>not</w:t>
      </w:r>
      <w:r>
        <w:rPr>
          <w:sz w:val="23"/>
          <w:szCs w:val="23"/>
        </w:rPr>
        <w:t xml:space="preserve"> required for OTC option on grains/meats if: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Each</w:t>
      </w:r>
      <w:r>
        <w:rPr>
          <w:sz w:val="23"/>
          <w:szCs w:val="23"/>
        </w:rPr>
        <w:t xml:space="preserve"> party to transaction has net worth of at least $10 million; </w:t>
      </w:r>
      <w:r>
        <w:rPr>
          <w:sz w:val="23"/>
          <w:szCs w:val="23"/>
          <w:u w:val="single"/>
        </w:rPr>
        <w:t>and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General trade option rules are complied with, i.e., physical requirement for “offeree” (</w:t>
      </w:r>
      <w:r>
        <w:rPr>
          <w:i/>
          <w:iCs/>
          <w:sz w:val="23"/>
          <w:szCs w:val="23"/>
        </w:rPr>
        <w:t>see</w:t>
      </w:r>
      <w:r>
        <w:rPr>
          <w:sz w:val="23"/>
          <w:szCs w:val="23"/>
        </w:rPr>
        <w:t xml:space="preserve"> II(C)(1) above)</w:t>
      </w:r>
    </w:p>
    <w:p>
      <w:pPr>
        <w:pStyle w:val="Normal"/>
        <w:numPr>
          <w:ilvl w:val="1"/>
          <w:numId w:val="2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Proposed control/compliance procedures for OTC options trading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Basic counterparty requirements</w:t>
      </w:r>
    </w:p>
    <w:p>
      <w:pPr>
        <w:pStyle w:val="Normal"/>
        <w:numPr>
          <w:ilvl w:val="1"/>
          <w:numId w:val="3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>Softs” – counterparty must physically handle</w:t>
      </w:r>
    </w:p>
    <w:p>
      <w:pPr>
        <w:pStyle w:val="Normal"/>
        <w:numPr>
          <w:ilvl w:val="1"/>
          <w:numId w:val="3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 xml:space="preserve">Grains/meats” --  counterparty must physically handle </w:t>
      </w:r>
      <w:r>
        <w:rPr>
          <w:sz w:val="23"/>
          <w:szCs w:val="23"/>
          <w:u w:val="single"/>
        </w:rPr>
        <w:t>and</w:t>
      </w:r>
      <w:r>
        <w:rPr>
          <w:sz w:val="23"/>
          <w:szCs w:val="23"/>
        </w:rPr>
        <w:t xml:space="preserve"> have net worth of at least $10 million</w:t>
      </w:r>
    </w:p>
    <w:p>
      <w:pPr>
        <w:pStyle w:val="Normal"/>
        <w:keepNext w:val="true"/>
        <w:numPr>
          <w:ilvl w:val="0"/>
          <w:numId w:val="3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Proposed procedures</w:t>
      </w:r>
    </w:p>
    <w:p>
      <w:pPr>
        <w:pStyle w:val="Normal"/>
        <w:numPr>
          <w:ilvl w:val="1"/>
          <w:numId w:val="3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At outset of discussions with new counterparty, dealmaker sends ag commodity checklist to counterparty</w:t>
      </w:r>
    </w:p>
    <w:p>
      <w:pPr>
        <w:pStyle w:val="Normal"/>
        <w:numPr>
          <w:ilvl w:val="1"/>
          <w:numId w:val="3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Counterparty fills out, signs checklist, returns to dealmaker</w:t>
      </w:r>
    </w:p>
    <w:p>
      <w:pPr>
        <w:pStyle w:val="Normal"/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(c)</w:t>
        <w:tab/>
        <w:t>Dealmaker forwards checklist to legal department</w:t>
      </w:r>
    </w:p>
    <w:p>
      <w:pPr>
        <w:pStyle w:val="Normal"/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(d)</w:t>
        <w:tab/>
        <w:t>In course of credit review, credit department determines whether counterparty meets $10 million net worth requirement; indicates “yes” or “no” on new line item added to credit review sheet sent by credit to legal</w:t>
      </w:r>
    </w:p>
    <w:p>
      <w:pPr>
        <w:pStyle w:val="Normal"/>
        <w:numPr>
          <w:ilvl w:val="2"/>
          <w:numId w:val="2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Legal department fills out authorization form showing which ag commodities, if any, counterparty is approved for option trading</w:t>
      </w:r>
    </w:p>
    <w:p>
      <w:pPr>
        <w:pStyle w:val="Normal"/>
        <w:numPr>
          <w:ilvl w:val="2"/>
          <w:numId w:val="2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Dealmaker insures that only authorized options are traded with particular counterparty – back office compliance personnel could provided database support</w:t>
      </w:r>
    </w:p>
    <w:p>
      <w:pPr>
        <w:pStyle w:val="Normal"/>
        <w:numPr>
          <w:ilvl w:val="1"/>
          <w:numId w:val="2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Swaptions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before="120" w:after="0"/>
        <w:ind w:hanging="0" w:start="0" w:end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Physical Delivery Contracts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General rule – fixed price, fixed quantity, fixed delivery date and firm obligations to deliver </w:t>
      </w:r>
      <w:r>
        <w:rPr>
          <w:sz w:val="23"/>
          <w:szCs w:val="23"/>
          <w:u w:val="single"/>
        </w:rPr>
        <w:t>and</w:t>
      </w:r>
      <w:r>
        <w:rPr>
          <w:sz w:val="23"/>
          <w:szCs w:val="23"/>
        </w:rPr>
        <w:t xml:space="preserve"> accept will be unregulated “forward” contracts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Some</w:t>
      </w:r>
      <w:r>
        <w:rPr>
          <w:sz w:val="23"/>
          <w:szCs w:val="23"/>
        </w:rPr>
        <w:t xml:space="preserve"> optionality allowed as to pricing; </w:t>
      </w:r>
      <w:r>
        <w:rPr>
          <w:sz w:val="23"/>
          <w:szCs w:val="23"/>
          <w:u w:val="single"/>
        </w:rPr>
        <w:t>some</w:t>
      </w:r>
      <w:r>
        <w:rPr>
          <w:sz w:val="23"/>
          <w:szCs w:val="23"/>
        </w:rPr>
        <w:t xml:space="preserve"> optionality allowed as to delivery dates; </w:t>
      </w:r>
      <w:r>
        <w:rPr>
          <w:sz w:val="23"/>
          <w:szCs w:val="23"/>
          <w:u w:val="single"/>
        </w:rPr>
        <w:t>NEITHER</w:t>
      </w:r>
      <w:r>
        <w:rPr>
          <w:sz w:val="23"/>
          <w:szCs w:val="23"/>
        </w:rPr>
        <w:t xml:space="preserve"> PARTY MAY HAVE </w:t>
      </w:r>
      <w:r>
        <w:rPr>
          <w:sz w:val="23"/>
          <w:szCs w:val="23"/>
          <w:u w:val="single"/>
        </w:rPr>
        <w:t>ANY</w:t>
      </w:r>
      <w:r>
        <w:rPr>
          <w:sz w:val="23"/>
          <w:szCs w:val="23"/>
        </w:rPr>
        <w:t xml:space="preserve"> OPTIONALITY AS TO WHETHER TO DELIVER OR TAKE DELIVERY</w:t>
      </w:r>
    </w:p>
    <w:p>
      <w:pPr>
        <w:pStyle w:val="Normal"/>
        <w:numPr>
          <w:ilvl w:val="1"/>
          <w:numId w:val="1"/>
        </w:numPr>
        <w:tabs>
          <w:tab w:val="clear" w:pos="720"/>
        </w:tabs>
        <w:spacing w:before="120" w:after="0"/>
        <w:ind w:hanging="720" w:start="1440" w:end="0"/>
        <w:jc w:val="both"/>
        <w:rPr>
          <w:sz w:val="23"/>
          <w:szCs w:val="23"/>
        </w:rPr>
      </w:pPr>
      <w:r>
        <w:rPr>
          <w:sz w:val="23"/>
          <w:szCs w:val="23"/>
        </w:rPr>
        <w:t>Pricing/delivery date optionality – some guidelines as to what is permissible have emerged through various advisory letters and enforcement actions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>Price optionality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>minimum price guarantee” contracts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>minimum/maximum price guarantee” contracts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“</w:t>
      </w:r>
      <w:r>
        <w:rPr>
          <w:sz w:val="23"/>
          <w:szCs w:val="23"/>
        </w:rPr>
        <w:t>Premium offer” contract, which sets a price ceiling, is currently the subject of a CFTC enforcement action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Delivery date optionality -- if contract provides for “rolling” of a delivery date and corresponding futures-month reference price, then rolling should </w:t>
      </w:r>
      <w:r>
        <w:rPr>
          <w:sz w:val="23"/>
          <w:szCs w:val="23"/>
          <w:u w:val="single"/>
        </w:rPr>
        <w:t>not</w:t>
      </w:r>
      <w:r>
        <w:rPr>
          <w:sz w:val="23"/>
          <w:szCs w:val="23"/>
        </w:rPr>
        <w:t xml:space="preserve"> extend from one “crop cycle” into the another one</w:t>
      </w:r>
    </w:p>
    <w:p>
      <w:pPr>
        <w:pStyle w:val="Normal"/>
        <w:numPr>
          <w:ilvl w:val="2"/>
          <w:numId w:val="1"/>
        </w:numPr>
        <w:tabs>
          <w:tab w:val="clear" w:pos="720"/>
        </w:tabs>
        <w:spacing w:before="120" w:after="0"/>
        <w:ind w:hanging="720" w:start="216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Delivery quantity 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>quantity should be “reasonably related to the producer’s annual production”</w:t>
      </w:r>
    </w:p>
    <w:p>
      <w:pPr>
        <w:pStyle w:val="Normal"/>
        <w:numPr>
          <w:ilvl w:val="3"/>
          <w:numId w:val="1"/>
        </w:numPr>
        <w:tabs>
          <w:tab w:val="clear" w:pos="720"/>
        </w:tabs>
        <w:spacing w:before="120" w:after="0"/>
        <w:ind w:hanging="720" w:start="2880" w:end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contracts allowing for buyer to “call” additional quantities from farmer over a “baseload” amount run high risk of regulatory enforcement action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/mnt/main-storage/datasets/enron-docs/doc/Presentation_110700-7a04c7019b90d5ee6fdbb044586a219fd3a5a6733e6425a452a342dd0f1df671.doc</w:t>
    </w:r>
    <w:r>
      <w:rPr>
        <w:sz w:val="12"/>
      </w:rPr>
      <w:fldChar w:fldCharType="end"/>
    </w:r>
  </w:p>
  <w:p>
    <w:pPr>
      <w:pStyle w:val="Footer"/>
      <w:spacing w:before="240" w:after="0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2520"/>
        </w:tabs>
        <w:ind w:start="2520" w:hanging="1440"/>
      </w:pPr>
      <w:rPr/>
    </w:lvl>
    <w:lvl w:ilvl="2">
      <w:start w:val="1"/>
      <w:numFmt w:val="decimal"/>
      <w:lvlText w:val="(%3)"/>
      <w:lvlJc w:val="start"/>
      <w:pPr>
        <w:tabs>
          <w:tab w:val="num" w:pos="720"/>
        </w:tabs>
        <w:ind w:start="2340" w:hanging="360"/>
      </w:pPr>
      <w:rPr/>
    </w:lvl>
    <w:lvl w:ilvl="3">
      <w:start w:val="1"/>
      <w:numFmt w:val="lowerLetter"/>
      <w:lvlText w:val="(%4)"/>
      <w:lvlJc w:val="start"/>
      <w:pPr>
        <w:tabs>
          <w:tab w:val="num" w:pos="72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2400"/>
        </w:tabs>
        <w:ind w:start="2400" w:hanging="420"/>
      </w:pPr>
      <w:rPr/>
    </w:lvl>
    <w:lvl w:ilvl="1">
      <w:start w:val="5"/>
      <w:numFmt w:val="upperLetter"/>
      <w:lvlText w:val="%2."/>
      <w:lvlJc w:val="start"/>
      <w:pPr>
        <w:tabs>
          <w:tab w:val="num" w:pos="3060"/>
        </w:tabs>
        <w:ind w:start="3060" w:hanging="360"/>
      </w:pPr>
      <w:rPr/>
    </w:lvl>
    <w:lvl w:ilvl="2">
      <w:start w:val="5"/>
      <w:numFmt w:val="lowerLetter"/>
      <w:lvlText w:val="(%3)"/>
      <w:lvlJc w:val="start"/>
      <w:pPr>
        <w:tabs>
          <w:tab w:val="num" w:pos="3960"/>
        </w:tabs>
        <w:ind w:start="3960" w:hanging="360"/>
      </w:pPr>
      <w:rPr/>
    </w:lvl>
    <w:lvl w:ilvl="3">
      <w:start w:val="1"/>
      <w:numFmt w:val="decimal"/>
      <w:lvlText w:val="%4."/>
      <w:lvlJc w:val="start"/>
      <w:pPr>
        <w:tabs>
          <w:tab w:val="num" w:pos="4500"/>
        </w:tabs>
        <w:ind w:start="4500" w:hanging="360"/>
      </w:pPr>
    </w:lvl>
    <w:lvl w:ilvl="4">
      <w:start w:val="1"/>
      <w:numFmt w:val="lowerLetter"/>
      <w:lvlText w:val="%5."/>
      <w:lvlJc w:val="start"/>
      <w:pPr>
        <w:tabs>
          <w:tab w:val="num" w:pos="5220"/>
        </w:tabs>
        <w:ind w:start="5220" w:hanging="360"/>
      </w:pPr>
    </w:lvl>
    <w:lvl w:ilvl="5">
      <w:start w:val="1"/>
      <w:numFmt w:val="lowerRoman"/>
      <w:lvlText w:val="%6."/>
      <w:lvlJc w:val="end"/>
      <w:pPr>
        <w:tabs>
          <w:tab w:val="num" w:pos="5940"/>
        </w:tabs>
        <w:ind w:start="5940" w:hanging="180"/>
      </w:pPr>
    </w:lvl>
    <w:lvl w:ilvl="6">
      <w:start w:val="1"/>
      <w:numFmt w:val="decimal"/>
      <w:lvlText w:val="%7."/>
      <w:lvlJc w:val="start"/>
      <w:pPr>
        <w:tabs>
          <w:tab w:val="num" w:pos="6660"/>
        </w:tabs>
        <w:ind w:start="6660" w:hanging="360"/>
      </w:pPr>
    </w:lvl>
    <w:lvl w:ilvl="7">
      <w:start w:val="1"/>
      <w:numFmt w:val="lowerLetter"/>
      <w:lvlText w:val="%8."/>
      <w:lvlJc w:val="start"/>
      <w:pPr>
        <w:tabs>
          <w:tab w:val="num" w:pos="7380"/>
        </w:tabs>
        <w:ind w:start="7380" w:hanging="360"/>
      </w:pPr>
    </w:lvl>
    <w:lvl w:ilvl="8">
      <w:start w:val="1"/>
      <w:numFmt w:val="lowerRoman"/>
      <w:lvlText w:val="%9."/>
      <w:lvlJc w:val="end"/>
      <w:pPr>
        <w:tabs>
          <w:tab w:val="num" w:pos="8100"/>
        </w:tabs>
        <w:ind w:start="8100" w:hanging="18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2340"/>
        </w:tabs>
        <w:ind w:start="2340" w:hanging="360"/>
      </w:pPr>
      <w:rPr/>
    </w:lvl>
    <w:lvl w:ilvl="1">
      <w:start w:val="1"/>
      <w:numFmt w:val="lowerLetter"/>
      <w:lvlText w:val="(%2)"/>
      <w:lvlJc w:val="start"/>
      <w:pPr>
        <w:tabs>
          <w:tab w:val="num" w:pos="3060"/>
        </w:tabs>
        <w:ind w:start="3060" w:hanging="360"/>
      </w:pPr>
      <w:rPr/>
    </w:lvl>
    <w:lvl w:ilvl="2">
      <w:start w:val="1"/>
      <w:numFmt w:val="lowerRoman"/>
      <w:lvlText w:val="%3."/>
      <w:lvlJc w:val="end"/>
      <w:pPr>
        <w:tabs>
          <w:tab w:val="num" w:pos="3780"/>
        </w:tabs>
        <w:ind w:start="3780" w:hanging="180"/>
      </w:pPr>
    </w:lvl>
    <w:lvl w:ilvl="3">
      <w:start w:val="1"/>
      <w:numFmt w:val="decimal"/>
      <w:lvlText w:val="%4."/>
      <w:lvlJc w:val="start"/>
      <w:pPr>
        <w:tabs>
          <w:tab w:val="num" w:pos="4500"/>
        </w:tabs>
        <w:ind w:start="4500" w:hanging="360"/>
      </w:pPr>
    </w:lvl>
    <w:lvl w:ilvl="4">
      <w:start w:val="1"/>
      <w:numFmt w:val="lowerLetter"/>
      <w:lvlText w:val="%5."/>
      <w:lvlJc w:val="start"/>
      <w:pPr>
        <w:tabs>
          <w:tab w:val="num" w:pos="5220"/>
        </w:tabs>
        <w:ind w:start="5220" w:hanging="360"/>
      </w:pPr>
    </w:lvl>
    <w:lvl w:ilvl="5">
      <w:start w:val="1"/>
      <w:numFmt w:val="lowerRoman"/>
      <w:lvlText w:val="%6."/>
      <w:lvlJc w:val="end"/>
      <w:pPr>
        <w:tabs>
          <w:tab w:val="num" w:pos="5940"/>
        </w:tabs>
        <w:ind w:start="5940" w:hanging="180"/>
      </w:pPr>
    </w:lvl>
    <w:lvl w:ilvl="6">
      <w:start w:val="1"/>
      <w:numFmt w:val="decimal"/>
      <w:lvlText w:val="%7."/>
      <w:lvlJc w:val="start"/>
      <w:pPr>
        <w:tabs>
          <w:tab w:val="num" w:pos="6660"/>
        </w:tabs>
        <w:ind w:start="6660" w:hanging="360"/>
      </w:pPr>
    </w:lvl>
    <w:lvl w:ilvl="7">
      <w:start w:val="1"/>
      <w:numFmt w:val="lowerLetter"/>
      <w:lvlText w:val="%8."/>
      <w:lvlJc w:val="start"/>
      <w:pPr>
        <w:tabs>
          <w:tab w:val="num" w:pos="7380"/>
        </w:tabs>
        <w:ind w:start="7380" w:hanging="360"/>
      </w:pPr>
    </w:lvl>
    <w:lvl w:ilvl="8">
      <w:start w:val="1"/>
      <w:numFmt w:val="lowerRoman"/>
      <w:lvlText w:val="%9."/>
      <w:lvlJc w:val="end"/>
      <w:pPr>
        <w:tabs>
          <w:tab w:val="num" w:pos="8100"/>
        </w:tabs>
        <w:ind w:start="810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</w:tabs>
      <w:spacing w:before="360" w:after="0"/>
      <w:ind w:hanging="0" w:start="0" w:end="0"/>
      <w:jc w:val="both"/>
      <w:outlineLvl w:val="0"/>
    </w:pPr>
    <w:rPr>
      <w:b/>
      <w:bCs/>
      <w:sz w:val="23"/>
      <w:szCs w:val="23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2000-11-06T14:27:00Z</dcterms:created>
  <dc:creator>rbruce2</dc:creator>
  <dc:description/>
  <dc:language>en-CA</dc:language>
  <cp:lastModifiedBy>rbruce2</cp:lastModifiedBy>
  <cp:lastPrinted>2000-11-07T09:36:00Z</cp:lastPrinted>
  <dcterms:modified xsi:type="dcterms:W3CDTF">2000-11-07T13:06:00Z</dcterms:modified>
  <cp:revision>7</cp:revision>
  <dc:subject/>
  <dc:title>AGRICULTURAL TRADING</dc:title>
</cp:coreProperties>
</file>