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Heading1"/>
        <w:ind w:hanging="0" w:start="0"/>
        <w:rPr>
          <w:b w:val="false"/>
          <w:sz w:val="24"/>
        </w:rPr>
      </w:pPr>
      <w:r>
        <w:rPr>
          <w:b w:val="false"/>
          <w:sz w:val="24"/>
        </w:rPr>
      </w:r>
    </w:p>
    <w:p>
      <w:pPr>
        <w:pStyle w:val="Heading1"/>
        <w:ind w:hanging="0" w:start="0"/>
        <w:rPr/>
      </w:pPr>
      <w:r>
        <w:rPr/>
        <w:t xml:space="preserve">The Procedure </w:t>
      </w:r>
    </w:p>
    <w:p>
      <w:pPr>
        <w:pStyle w:val="Normal"/>
        <w:jc w:val="center"/>
        <w:rPr>
          <w:b/>
          <w:sz w:val="52"/>
        </w:rPr>
      </w:pPr>
      <w:r>
        <w:rPr>
          <w:b/>
          <w:sz w:val="52"/>
        </w:rPr>
        <w:t xml:space="preserve">of Preparation and Realisation </w:t>
      </w:r>
    </w:p>
    <w:p>
      <w:pPr>
        <w:pStyle w:val="Normal"/>
        <w:jc w:val="center"/>
        <w:rPr>
          <w:b/>
          <w:sz w:val="52"/>
        </w:rPr>
      </w:pPr>
      <w:r>
        <w:rPr>
          <w:b/>
          <w:sz w:val="52"/>
        </w:rPr>
        <w:t xml:space="preserve">of the Budget </w:t>
      </w:r>
    </w:p>
    <w:p>
      <w:pPr>
        <w:pStyle w:val="Normal"/>
        <w:jc w:val="center"/>
        <w:rPr>
          <w:b/>
          <w:sz w:val="52"/>
        </w:rPr>
      </w:pPr>
      <w:r>
        <w:rPr>
          <w:b/>
          <w:sz w:val="52"/>
        </w:rPr>
        <w:t xml:space="preserve">at Elektrociepłownia Nowa Sarzyna </w:t>
      </w:r>
    </w:p>
    <w:p>
      <w:pPr>
        <w:pStyle w:val="Normal"/>
        <w:jc w:val="center"/>
        <w:rPr>
          <w:b/>
          <w:sz w:val="52"/>
        </w:rPr>
      </w:pPr>
      <w:r>
        <w:rPr>
          <w:b/>
          <w:sz w:val="52"/>
        </w:rPr>
        <w:t>Sp. z o.o. (ENS)</w:t>
      </w:r>
    </w:p>
    <w:p>
      <w:pPr>
        <w:pStyle w:val="Normal"/>
        <w:rPr>
          <w:b/>
          <w:sz w:val="24"/>
        </w:rPr>
      </w:pPr>
      <w:r>
        <w:rPr>
          <w:b/>
          <w:sz w:val="24"/>
        </w:rPr>
      </w:r>
      <w:r>
        <w:br w:type="page"/>
      </w:r>
    </w:p>
    <w:p>
      <w:pPr>
        <w:pStyle w:val="Normal"/>
        <w:rPr>
          <w:b/>
          <w:sz w:val="24"/>
        </w:rPr>
      </w:pPr>
      <w:r>
        <w:rPr>
          <w:b/>
          <w:sz w:val="24"/>
        </w:rPr>
        <w:t>CONTENTS:</w:t>
      </w:r>
    </w:p>
    <w:p>
      <w:pPr>
        <w:pStyle w:val="Normal"/>
        <w:rPr>
          <w:b/>
          <w:sz w:val="24"/>
        </w:rPr>
      </w:pPr>
      <w:r>
        <w:rPr>
          <w:b/>
          <w:sz w:val="24"/>
        </w:rPr>
      </w:r>
    </w:p>
    <w:p>
      <w:pPr>
        <w:pStyle w:val="Normal"/>
        <w:numPr>
          <w:ilvl w:val="0"/>
          <w:numId w:val="2"/>
        </w:numPr>
        <w:tabs>
          <w:tab w:val="clear" w:pos="708"/>
          <w:tab w:val="left" w:pos="717" w:leader="none"/>
        </w:tabs>
        <w:spacing w:before="0" w:after="240"/>
        <w:ind w:hanging="357" w:start="714" w:end="0"/>
        <w:rPr>
          <w:b/>
          <w:sz w:val="24"/>
        </w:rPr>
      </w:pPr>
      <w:r>
        <w:rPr>
          <w:b/>
          <w:sz w:val="24"/>
        </w:rPr>
        <w:t>Preparation of the budget.</w:t>
      </w:r>
    </w:p>
    <w:p>
      <w:pPr>
        <w:pStyle w:val="BodyText"/>
        <w:numPr>
          <w:ilvl w:val="0"/>
          <w:numId w:val="2"/>
        </w:numPr>
        <w:tabs>
          <w:tab w:val="clear" w:pos="708"/>
          <w:tab w:val="left" w:pos="717" w:leader="none"/>
        </w:tabs>
        <w:spacing w:before="0" w:after="240"/>
        <w:ind w:hanging="357" w:start="714" w:end="0"/>
        <w:jc w:val="both"/>
        <w:rPr>
          <w:b/>
        </w:rPr>
      </w:pPr>
      <w:r>
        <w:rPr>
          <w:b/>
        </w:rPr>
        <w:t>Budget Acceptance.</w:t>
      </w:r>
    </w:p>
    <w:p>
      <w:pPr>
        <w:pStyle w:val="BodyText"/>
        <w:numPr>
          <w:ilvl w:val="0"/>
          <w:numId w:val="2"/>
        </w:numPr>
        <w:tabs>
          <w:tab w:val="clear" w:pos="708"/>
          <w:tab w:val="left" w:pos="717" w:leader="none"/>
        </w:tabs>
        <w:spacing w:before="0" w:after="240"/>
        <w:ind w:hanging="357" w:start="714" w:end="0"/>
        <w:jc w:val="both"/>
        <w:rPr>
          <w:b/>
        </w:rPr>
      </w:pPr>
      <w:r>
        <w:rPr>
          <w:b/>
        </w:rPr>
        <w:t>Realisation of The Budget.</w:t>
      </w:r>
    </w:p>
    <w:p>
      <w:pPr>
        <w:pStyle w:val="BodyText"/>
        <w:numPr>
          <w:ilvl w:val="0"/>
          <w:numId w:val="2"/>
        </w:numPr>
        <w:tabs>
          <w:tab w:val="clear" w:pos="708"/>
          <w:tab w:val="left" w:pos="717" w:leader="none"/>
        </w:tabs>
        <w:spacing w:before="0" w:after="240"/>
        <w:ind w:hanging="357" w:start="714" w:end="0"/>
        <w:jc w:val="both"/>
        <w:rPr>
          <w:b/>
        </w:rPr>
      </w:pPr>
      <w:r>
        <w:rPr>
          <w:b/>
        </w:rPr>
        <w:t>Control of the Budget.</w:t>
      </w:r>
    </w:p>
    <w:p>
      <w:pPr>
        <w:pStyle w:val="BodyText"/>
        <w:jc w:val="both"/>
        <w:rPr>
          <w:b/>
        </w:rPr>
      </w:pPr>
      <w:r>
        <w:rPr>
          <w:b/>
        </w:rPr>
      </w:r>
    </w:p>
    <w:p>
      <w:pPr>
        <w:pStyle w:val="BodyText"/>
        <w:jc w:val="both"/>
        <w:rPr/>
      </w:pPr>
      <w:r>
        <w:rPr/>
        <w:t>Attachment: ENS budget chart.</w:t>
      </w:r>
    </w:p>
    <w:p>
      <w:pPr>
        <w:pStyle w:val="Normal"/>
        <w:rPr>
          <w:b/>
          <w:sz w:val="24"/>
        </w:rPr>
      </w:pPr>
      <w:r>
        <w:rPr>
          <w:b/>
          <w:sz w:val="24"/>
        </w:rPr>
      </w:r>
      <w:r>
        <w:br w:type="page"/>
      </w:r>
    </w:p>
    <w:p>
      <w:pPr>
        <w:pStyle w:val="Normal"/>
        <w:numPr>
          <w:ilvl w:val="0"/>
          <w:numId w:val="5"/>
        </w:numPr>
        <w:rPr>
          <w:b/>
          <w:sz w:val="28"/>
        </w:rPr>
      </w:pPr>
      <w:r>
        <w:rPr>
          <w:b/>
          <w:sz w:val="28"/>
        </w:rPr>
        <w:t>Preparation of the budget.</w:t>
      </w:r>
    </w:p>
    <w:p>
      <w:pPr>
        <w:pStyle w:val="Normal"/>
        <w:rPr>
          <w:b/>
          <w:sz w:val="24"/>
        </w:rPr>
      </w:pPr>
      <w:r>
        <w:rPr>
          <w:b/>
          <w:sz w:val="24"/>
        </w:rPr>
      </w:r>
    </w:p>
    <w:p>
      <w:pPr>
        <w:pStyle w:val="Normal"/>
        <w:jc w:val="both"/>
        <w:rPr>
          <w:sz w:val="24"/>
        </w:rPr>
      </w:pPr>
      <w:r>
        <w:rPr>
          <w:sz w:val="24"/>
        </w:rPr>
        <w:t>The Elektrocieplownia Nowa Sarzyna budget is to be created in accordance with the procedures laid down in Article VII of “The Technical Assistance Agreement” signed with Enron Europe Operations (Advisor) Limited (the Owner)  and the methodology emanating from the chart of accounts used by the power plant.</w:t>
      </w:r>
    </w:p>
    <w:p>
      <w:pPr>
        <w:pStyle w:val="Normal"/>
        <w:jc w:val="both"/>
        <w:rPr>
          <w:sz w:val="24"/>
        </w:rPr>
      </w:pPr>
      <w:r>
        <w:rPr>
          <w:sz w:val="24"/>
        </w:rPr>
      </w:r>
    </w:p>
    <w:p>
      <w:pPr>
        <w:pStyle w:val="BodyText"/>
        <w:jc w:val="both"/>
        <w:rPr/>
      </w:pPr>
      <w:r>
        <w:rPr/>
        <w:t>Initial work on the budget should commence around 150 days prior to the budget period (the calendar year).</w:t>
      </w:r>
    </w:p>
    <w:p>
      <w:pPr>
        <w:pStyle w:val="BodyText"/>
        <w:jc w:val="both"/>
        <w:rPr/>
      </w:pPr>
      <w:r>
        <w:rPr/>
      </w:r>
    </w:p>
    <w:p>
      <w:pPr>
        <w:pStyle w:val="BodyText"/>
        <w:jc w:val="both"/>
        <w:rPr/>
      </w:pPr>
      <w:r>
        <w:rPr/>
        <w:t>The budget is prepared in it’s entirety by people at ENS. The Owner takes part in budget preparation by providing expertise and management of the preparation process.</w:t>
      </w:r>
    </w:p>
    <w:p>
      <w:pPr>
        <w:pStyle w:val="BodyText"/>
        <w:jc w:val="both"/>
        <w:rPr/>
      </w:pPr>
      <w:r>
        <w:rPr/>
      </w:r>
    </w:p>
    <w:p>
      <w:pPr>
        <w:pStyle w:val="BodyText"/>
        <w:jc w:val="both"/>
        <w:rPr/>
      </w:pPr>
      <w:r>
        <w:rPr/>
        <w:t>The budget is prepared on a monthly basis and every position in the budget is allocated to an individual who is responsible for its value and subsequent control.</w:t>
      </w:r>
    </w:p>
    <w:p>
      <w:pPr>
        <w:pStyle w:val="BodyText"/>
        <w:jc w:val="both"/>
        <w:rPr/>
      </w:pPr>
      <w:r>
        <w:rPr/>
      </w:r>
    </w:p>
    <w:p>
      <w:pPr>
        <w:pStyle w:val="BodyText"/>
        <w:jc w:val="both"/>
        <w:rPr/>
      </w:pPr>
      <w:r>
        <w:rPr/>
        <w:t>Budget preparation takes into account the following:</w:t>
      </w:r>
    </w:p>
    <w:p>
      <w:pPr>
        <w:pStyle w:val="BodyText"/>
        <w:jc w:val="both"/>
        <w:rPr>
          <w:sz w:val="20"/>
        </w:rPr>
      </w:pPr>
      <w:r>
        <w:rPr>
          <w:sz w:val="20"/>
        </w:rPr>
      </w:r>
    </w:p>
    <w:p>
      <w:pPr>
        <w:pStyle w:val="BodyText"/>
        <w:spacing w:before="0" w:after="240"/>
        <w:jc w:val="both"/>
        <w:rPr/>
      </w:pPr>
      <w:r>
        <w:rPr/>
        <w:t>1.1.  Estimates of variable factors which have bearing on the economic and financial environment of the Company (responsibility: Financial Director and the Accounting Department).</w:t>
      </w:r>
    </w:p>
    <w:p>
      <w:pPr>
        <w:pStyle w:val="BodyText"/>
        <w:numPr>
          <w:ilvl w:val="0"/>
          <w:numId w:val="3"/>
        </w:numPr>
        <w:tabs>
          <w:tab w:val="clear" w:pos="708"/>
          <w:tab w:val="left" w:pos="1068" w:leader="none"/>
        </w:tabs>
        <w:ind w:hanging="360" w:start="1068" w:end="0"/>
        <w:jc w:val="both"/>
        <w:rPr/>
      </w:pPr>
      <w:r>
        <w:rPr/>
        <w:t>US dollar/Polish zloty exchange rate.</w:t>
      </w:r>
    </w:p>
    <w:p>
      <w:pPr>
        <w:pStyle w:val="BodyText"/>
        <w:numPr>
          <w:ilvl w:val="0"/>
          <w:numId w:val="3"/>
        </w:numPr>
        <w:tabs>
          <w:tab w:val="clear" w:pos="708"/>
          <w:tab w:val="left" w:pos="1068" w:leader="none"/>
        </w:tabs>
        <w:ind w:hanging="360" w:start="1068" w:end="0"/>
        <w:jc w:val="both"/>
        <w:rPr/>
      </w:pPr>
      <w:r>
        <w:rPr/>
        <w:t>Rate of inflation.</w:t>
      </w:r>
    </w:p>
    <w:p>
      <w:pPr>
        <w:pStyle w:val="BodyText"/>
        <w:numPr>
          <w:ilvl w:val="0"/>
          <w:numId w:val="3"/>
        </w:numPr>
        <w:tabs>
          <w:tab w:val="clear" w:pos="708"/>
          <w:tab w:val="left" w:pos="1068" w:leader="none"/>
        </w:tabs>
        <w:ind w:hanging="360" w:start="1068" w:end="0"/>
        <w:jc w:val="both"/>
        <w:rPr/>
      </w:pPr>
      <w:r>
        <w:rPr/>
        <w:t>Applicable interest rates (LIBOR).</w:t>
      </w:r>
    </w:p>
    <w:p>
      <w:pPr>
        <w:pStyle w:val="BodyText"/>
        <w:numPr>
          <w:ilvl w:val="0"/>
          <w:numId w:val="3"/>
        </w:numPr>
        <w:tabs>
          <w:tab w:val="clear" w:pos="708"/>
          <w:tab w:val="left" w:pos="1068" w:leader="none"/>
        </w:tabs>
        <w:spacing w:before="0" w:after="240"/>
        <w:ind w:hanging="357" w:start="1066" w:end="0"/>
        <w:jc w:val="both"/>
        <w:rPr/>
      </w:pPr>
      <w:r>
        <w:rPr/>
        <w:t>Applicable rate of corporate tax rates.</w:t>
      </w:r>
    </w:p>
    <w:p>
      <w:pPr>
        <w:pStyle w:val="BodyText"/>
        <w:numPr>
          <w:ilvl w:val="1"/>
          <w:numId w:val="4"/>
        </w:numPr>
        <w:spacing w:before="0" w:after="240"/>
        <w:ind w:hanging="482" w:start="482" w:end="0"/>
        <w:jc w:val="both"/>
        <w:rPr/>
      </w:pPr>
      <w:r>
        <w:rPr/>
        <w:t>Plans regarding the amount and structure of production and sales levels (responsibility: Technical Director).</w:t>
      </w:r>
    </w:p>
    <w:p>
      <w:pPr>
        <w:pStyle w:val="BodyText"/>
        <w:numPr>
          <w:ilvl w:val="1"/>
          <w:numId w:val="4"/>
        </w:numPr>
        <w:spacing w:before="0" w:after="240"/>
        <w:ind w:hanging="482" w:start="482" w:end="0"/>
        <w:jc w:val="both"/>
        <w:rPr/>
      </w:pPr>
      <w:r>
        <w:rPr/>
        <w:t>Plans regarding direct materials usage: natural gas, fuel oil, water, chemicals, other materials.</w:t>
      </w:r>
    </w:p>
    <w:p>
      <w:pPr>
        <w:pStyle w:val="BodyText"/>
        <w:numPr>
          <w:ilvl w:val="1"/>
          <w:numId w:val="4"/>
        </w:numPr>
        <w:spacing w:before="0" w:after="240"/>
        <w:ind w:hanging="482" w:start="482" w:end="0"/>
        <w:jc w:val="both"/>
        <w:rPr/>
      </w:pPr>
      <w:r>
        <w:rPr>
          <w:b/>
        </w:rPr>
        <w:t xml:space="preserve">Sales Budget: </w:t>
      </w:r>
      <w:r>
        <w:rPr/>
        <w:t>An estimate of sales prices based on prevailing Long Term Agreements and resulting revenues (responsibility: Financial Director and the Accounting Department).</w:t>
      </w:r>
    </w:p>
    <w:p>
      <w:pPr>
        <w:pStyle w:val="BodyText"/>
        <w:numPr>
          <w:ilvl w:val="1"/>
          <w:numId w:val="4"/>
        </w:numPr>
        <w:spacing w:before="0" w:after="240"/>
        <w:ind w:hanging="482" w:start="482" w:end="0"/>
        <w:jc w:val="both"/>
        <w:rPr/>
      </w:pPr>
      <w:r>
        <w:rPr>
          <w:b/>
        </w:rPr>
        <w:t xml:space="preserve">Direct Materials Budget: </w:t>
      </w:r>
      <w:r>
        <w:rPr/>
        <w:t>Estimate of costs based on planned usage (natural gas, fuel oil, chemicals, water, effluent, other materials), forecasted prices and historical costs. (responsibility: Technical Director).</w:t>
      </w:r>
    </w:p>
    <w:p>
      <w:pPr>
        <w:pStyle w:val="BodyText"/>
        <w:numPr>
          <w:ilvl w:val="1"/>
          <w:numId w:val="4"/>
        </w:numPr>
        <w:spacing w:before="0" w:after="240"/>
        <w:ind w:hanging="482" w:start="482" w:end="0"/>
        <w:jc w:val="both"/>
        <w:rPr/>
      </w:pPr>
      <w:r>
        <w:rPr>
          <w:b/>
        </w:rPr>
        <w:t xml:space="preserve">Repairs and Maintenance Budget: </w:t>
      </w:r>
      <w:r>
        <w:rPr/>
        <w:t>Estimate of BOP, unplanned and general R &amp; M based on long term agreements and plans (responsibility: Technical Director).</w:t>
      </w:r>
    </w:p>
    <w:p>
      <w:pPr>
        <w:pStyle w:val="BodyText"/>
        <w:numPr>
          <w:ilvl w:val="1"/>
          <w:numId w:val="4"/>
        </w:numPr>
        <w:spacing w:before="0" w:after="240"/>
        <w:ind w:hanging="482" w:start="482" w:end="0"/>
        <w:jc w:val="both"/>
        <w:rPr/>
      </w:pPr>
      <w:r>
        <w:rPr>
          <w:b/>
        </w:rPr>
        <w:t xml:space="preserve">Financial Cost Budget: </w:t>
      </w:r>
      <w:r>
        <w:rPr/>
        <w:t>Estimate of interest costs, SWAP and other financial costs based partly on the Credit Agreement and historical data. (responsibility: Finance Director and the Accounting Department).</w:t>
      </w:r>
    </w:p>
    <w:p>
      <w:pPr>
        <w:pStyle w:val="BodyText"/>
        <w:numPr>
          <w:ilvl w:val="1"/>
          <w:numId w:val="4"/>
        </w:numPr>
        <w:spacing w:before="0" w:after="240"/>
        <w:jc w:val="both"/>
        <w:rPr>
          <w:b/>
        </w:rPr>
      </w:pPr>
      <w:r>
        <w:rPr>
          <w:b/>
        </w:rPr>
        <w:t xml:space="preserve">Salary and Labour Cost Budget:  </w:t>
      </w:r>
      <w:r>
        <w:rPr/>
        <w:t>Estimate of costs based contracted rates of remuneration (responsibility: Finance Director).</w:t>
      </w:r>
    </w:p>
    <w:p>
      <w:pPr>
        <w:pStyle w:val="BodyText"/>
        <w:numPr>
          <w:ilvl w:val="1"/>
          <w:numId w:val="4"/>
        </w:numPr>
        <w:spacing w:before="0" w:after="240"/>
        <w:ind w:hanging="482" w:start="482" w:end="0"/>
        <w:jc w:val="both"/>
        <w:rPr>
          <w:b/>
        </w:rPr>
      </w:pPr>
      <w:r>
        <w:rPr>
          <w:b/>
        </w:rPr>
        <w:t>Fixed Costs Budget:</w:t>
      </w:r>
      <w:r>
        <w:rPr/>
        <w:t xml:space="preserve"> Plan of costs for the following positions: depreciation, outside services, taxes and fees, insurance, administration costs, travel, representation (responsible: Finance Director).</w:t>
      </w:r>
    </w:p>
    <w:p>
      <w:pPr>
        <w:pStyle w:val="BodyText"/>
        <w:numPr>
          <w:ilvl w:val="1"/>
          <w:numId w:val="4"/>
        </w:numPr>
        <w:spacing w:before="0" w:after="240"/>
        <w:ind w:hanging="482" w:start="482" w:end="0"/>
        <w:jc w:val="both"/>
        <w:rPr>
          <w:b/>
        </w:rPr>
      </w:pPr>
      <w:r>
        <w:rPr>
          <w:b/>
        </w:rPr>
        <w:t>Other Costs:</w:t>
      </w:r>
      <w:r>
        <w:rPr/>
        <w:t xml:space="preserve"> Donations and capital expenditure plans (responsible: Management Board).</w:t>
      </w:r>
    </w:p>
    <w:p>
      <w:pPr>
        <w:pStyle w:val="BodyText"/>
        <w:numPr>
          <w:ilvl w:val="1"/>
          <w:numId w:val="4"/>
        </w:numPr>
        <w:spacing w:before="0" w:after="240"/>
        <w:ind w:hanging="482" w:start="482" w:end="0"/>
        <w:jc w:val="both"/>
        <w:rPr>
          <w:b/>
        </w:rPr>
      </w:pPr>
      <w:r>
        <w:rPr>
          <w:b/>
        </w:rPr>
        <w:t>Polish Zloty Budget:</w:t>
      </w:r>
      <w:r>
        <w:rPr/>
        <w:t xml:space="preserve"> takes in all items listed above. On this basis ENS is able to produce the following – Budget Profit &amp; Loss Account, Budget Balance Sheet, Budget Cash Flow on a monthly and total level.</w:t>
      </w:r>
    </w:p>
    <w:p>
      <w:pPr>
        <w:pStyle w:val="BodyText"/>
        <w:numPr>
          <w:ilvl w:val="1"/>
          <w:numId w:val="4"/>
        </w:numPr>
        <w:spacing w:before="0" w:after="480"/>
        <w:ind w:hanging="482" w:start="482" w:end="0"/>
        <w:jc w:val="both"/>
        <w:rPr>
          <w:b/>
        </w:rPr>
      </w:pPr>
      <w:r>
        <w:rPr>
          <w:b/>
        </w:rPr>
        <w:t>United States Dollar Budget:</w:t>
      </w:r>
      <w:r>
        <w:rPr/>
        <w:t xml:space="preserve"> from the exchange rates applied throughout the budget model The O &amp; M Budget (US Dollar) is produced taking into account all the direct costs of operating the plant.</w:t>
      </w:r>
    </w:p>
    <w:p>
      <w:pPr>
        <w:pStyle w:val="BodyText"/>
        <w:spacing w:before="0" w:after="240"/>
        <w:jc w:val="both"/>
        <w:rPr>
          <w:b/>
          <w:sz w:val="28"/>
        </w:rPr>
      </w:pPr>
      <w:r>
        <w:rPr>
          <w:b/>
          <w:sz w:val="28"/>
        </w:rPr>
        <w:t>2.   Budget Acceptance.</w:t>
      </w:r>
    </w:p>
    <w:p>
      <w:pPr>
        <w:pStyle w:val="BodyText"/>
        <w:spacing w:before="0" w:after="240"/>
        <w:jc w:val="both"/>
        <w:rPr/>
      </w:pPr>
      <w:r>
        <w:rPr/>
        <w:t>The whole budget project in Polish zloties and US dollars together with the O &amp; M Budget is presented by the Finance Director to a gathering of the Management Board at ENS for acceptance.</w:t>
      </w:r>
    </w:p>
    <w:p>
      <w:pPr>
        <w:pStyle w:val="BodyText"/>
        <w:spacing w:before="0" w:after="480"/>
        <w:jc w:val="both"/>
        <w:rPr/>
      </w:pPr>
      <w:r>
        <w:rPr/>
        <w:t>The budget, ratified by the Management Board, should then be presented to the Supervisory Board not later than 120 days before the relevant budget period (calendar year) for approval. ENS staff are obliged to provide any further clarification or information which may be required by the Owner. If the Owner fails to accept the budget it becomes incumbent on ENS to correct its plans or argue its case again and represent the budget.</w:t>
      </w:r>
    </w:p>
    <w:p>
      <w:pPr>
        <w:pStyle w:val="BodyText"/>
        <w:spacing w:before="0" w:after="240"/>
        <w:jc w:val="both"/>
        <w:rPr>
          <w:b/>
          <w:sz w:val="28"/>
        </w:rPr>
      </w:pPr>
      <w:r>
        <w:rPr>
          <w:b/>
          <w:sz w:val="28"/>
        </w:rPr>
        <w:t>3.   Realisation of The Budget.</w:t>
      </w:r>
    </w:p>
    <w:p>
      <w:pPr>
        <w:pStyle w:val="BodyText"/>
        <w:spacing w:before="0" w:after="240"/>
        <w:jc w:val="both"/>
        <w:rPr/>
      </w:pPr>
      <w:r>
        <w:rPr/>
        <w:t>At the end of every month ENS (responsibility: Finance Director) is to prepare an internal report showing actual progress against the budget for that month as an attachment to the monthly Financial Report. The budget report will contain two analyses: one showing the whole budget, the other showing the O &amp; M budget and will show actual results compared with planned together with variances and explanations for their occurrence.</w:t>
      </w:r>
    </w:p>
    <w:p>
      <w:pPr>
        <w:pStyle w:val="BodyText"/>
        <w:spacing w:before="0" w:after="480"/>
        <w:jc w:val="both"/>
        <w:rPr/>
      </w:pPr>
      <w:r>
        <w:rPr/>
        <w:t>The O &amp; M budget analysis for every month is then sent to  the Owner for his scrutiny.</w:t>
      </w:r>
    </w:p>
    <w:p>
      <w:pPr>
        <w:pStyle w:val="BodyText"/>
        <w:spacing w:before="0" w:after="240"/>
        <w:jc w:val="both"/>
        <w:rPr>
          <w:b/>
          <w:sz w:val="28"/>
        </w:rPr>
      </w:pPr>
      <w:r>
        <w:rPr>
          <w:b/>
          <w:sz w:val="28"/>
        </w:rPr>
        <w:t>4.  Control of the Budget.</w:t>
      </w:r>
    </w:p>
    <w:p>
      <w:pPr>
        <w:pStyle w:val="BodyText"/>
        <w:spacing w:before="0" w:after="240"/>
        <w:jc w:val="both"/>
        <w:rPr/>
      </w:pPr>
      <w:r>
        <w:rPr/>
        <w:t>Monthly analyses serve as a tool to making corrective decisions and avoiding future adverse trends.</w:t>
      </w:r>
    </w:p>
    <w:p>
      <w:pPr>
        <w:pStyle w:val="BodyText"/>
        <w:spacing w:before="0" w:after="240"/>
        <w:jc w:val="both"/>
        <w:rPr/>
      </w:pPr>
      <w:r>
        <w:rPr/>
        <w:t>At the end of every budget year the Finance Director presents the final results at a meeting of the Management Board together with a commentary.</w:t>
      </w:r>
    </w:p>
    <w:p>
      <w:pPr>
        <w:pStyle w:val="BodyText"/>
        <w:spacing w:before="0" w:after="240"/>
        <w:jc w:val="both"/>
        <w:rPr/>
      </w:pPr>
      <w:r>
        <w:rPr/>
        <w:t>At the end of every monthly period the realised costs should not exceed their planned level in the O &amp; M budget by more than 10%.</w:t>
      </w:r>
    </w:p>
    <w:p>
      <w:pPr>
        <w:pStyle w:val="BodyText"/>
        <w:spacing w:before="0" w:after="240"/>
        <w:jc w:val="both"/>
        <w:rPr/>
      </w:pPr>
      <w:r>
        <w:rPr/>
        <w:t xml:space="preserve">The whole O &amp; M budget, over a twelve month period, should not exceed plans by more than 5%.  </w:t>
      </w:r>
    </w:p>
    <w:sectPr>
      <w:headerReference w:type="default" r:id="rId2"/>
      <w:headerReference w:type="first" r:id="rId3"/>
      <w:footerReference w:type="default" r:id="rId4"/>
      <w:footerReference w:type="first" r:id="rId5"/>
      <w:type w:val="nextPage"/>
      <w:pgSz w:w="11906" w:h="16838"/>
      <w:pgMar w:left="1418" w:right="1418" w:gutter="0" w:header="720" w:top="1276" w:footer="720" w:bottom="1276"/>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FrutigerPL">
    <w:charset w:val="00" w:characterSet="windows-1252"/>
    <w:family w:val="auto"/>
    <w:pitch w:val="variable"/>
  </w:font>
  <w:font w:name="PalatinoPL">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82" w:type="dxa"/>
      <w:jc w:val="start"/>
      <w:tblInd w:w="0" w:type="dxa"/>
      <w:tblLayout w:type="fixed"/>
      <w:tblCellMar>
        <w:top w:w="0" w:type="dxa"/>
        <w:start w:w="70" w:type="dxa"/>
        <w:bottom w:w="0" w:type="dxa"/>
        <w:end w:w="70" w:type="dxa"/>
      </w:tblCellMar>
    </w:tblPr>
    <w:tblGrid>
      <w:gridCol w:w="6021"/>
      <w:gridCol w:w="3061"/>
    </w:tblGrid>
    <w:tr>
      <w:trPr/>
      <w:tc>
        <w:tcPr>
          <w:tcW w:w="6021" w:type="dxa"/>
          <w:tcBorders/>
        </w:tcPr>
        <w:p>
          <w:pPr>
            <w:pStyle w:val="Header"/>
            <w:tabs>
              <w:tab w:val="center" w:pos="4536" w:leader="none"/>
              <w:tab w:val="right" w:pos="6061" w:leader="none"/>
              <w:tab w:val="right" w:pos="9072" w:leader="none"/>
            </w:tabs>
            <w:rPr>
              <w:rFonts w:ascii="Arial" w:hAnsi="Arial" w:cs="Arial"/>
              <w:sz w:val="22"/>
            </w:rPr>
          </w:pPr>
          <w:r>
            <w:rPr>
              <w:rFonts w:cs="Arial" w:ascii="Arial" w:hAnsi="Arial"/>
              <w:sz w:val="22"/>
            </w:rPr>
            <w:object w:dxaOrig="1424" w:dyaOrig="142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1.2pt;height:71.2pt" filled="f" o:ole="">
                <v:imagedata r:id="rId2" o:title=""/>
              </v:shape>
              <o:OLEObject Type="Embed" ProgID="" ShapeID="ole_rId1" DrawAspect="Content" ObjectID="_924905232" r:id="rId1"/>
            </w:object>
          </w:r>
        </w:p>
      </w:tc>
      <w:tc>
        <w:tcPr>
          <w:tcW w:w="3061" w:type="dxa"/>
          <w:tcBorders/>
        </w:tcPr>
        <w:p>
          <w:pPr>
            <w:pStyle w:val="Header"/>
            <w:tabs>
              <w:tab w:val="center" w:pos="4536" w:leader="none"/>
              <w:tab w:val="right" w:pos="6061" w:leader="none"/>
              <w:tab w:val="right" w:pos="9072" w:leader="none"/>
            </w:tabs>
            <w:spacing w:lineRule="auto" w:line="218"/>
            <w:rPr>
              <w:rFonts w:ascii="FrutigerPL" w:hAnsi="FrutigerPL" w:cs="FrutigerPL"/>
              <w:b/>
              <w:sz w:val="18"/>
            </w:rPr>
          </w:pPr>
          <w:r>
            <w:rPr>
              <w:rFonts w:cs="FrutigerPL" w:ascii="FrutigerPL" w:hAnsi="FrutigerPL"/>
              <w:b/>
              <w:sz w:val="18"/>
            </w:rPr>
            <w:t>Elektrociepłownia</w:t>
          </w:r>
        </w:p>
        <w:p>
          <w:pPr>
            <w:pStyle w:val="Header"/>
            <w:tabs>
              <w:tab w:val="center" w:pos="4536" w:leader="none"/>
              <w:tab w:val="right" w:pos="6061" w:leader="none"/>
              <w:tab w:val="right" w:pos="9072" w:leader="none"/>
            </w:tabs>
            <w:spacing w:lineRule="auto" w:line="218"/>
            <w:rPr>
              <w:rFonts w:ascii="FrutigerPL" w:hAnsi="FrutigerPL" w:cs="FrutigerPL"/>
              <w:b/>
              <w:sz w:val="18"/>
            </w:rPr>
          </w:pPr>
          <w:r>
            <w:rPr>
              <w:rFonts w:cs="FrutigerPL" w:ascii="FrutigerPL" w:hAnsi="FrutigerPL"/>
              <w:b/>
              <w:sz w:val="18"/>
            </w:rPr>
            <w:t>Nowa Sarzyna Sp. z o. o.</w:t>
          </w:r>
        </w:p>
        <w:p>
          <w:pPr>
            <w:pStyle w:val="Header"/>
            <w:tabs>
              <w:tab w:val="center" w:pos="4536" w:leader="none"/>
              <w:tab w:val="right" w:pos="6061" w:leader="none"/>
              <w:tab w:val="right" w:pos="9072" w:leader="none"/>
            </w:tabs>
            <w:spacing w:lineRule="auto" w:line="218"/>
            <w:rPr>
              <w:rFonts w:ascii="PalatinoPL" w:hAnsi="PalatinoPL" w:cs="PalatinoPL"/>
              <w:i/>
              <w:i/>
              <w:sz w:val="16"/>
            </w:rPr>
          </w:pPr>
          <w:r>
            <w:rPr>
              <w:rFonts w:cs="PalatinoPL" w:ascii="PalatinoPL" w:hAnsi="PalatinoPL"/>
              <w:i/>
              <w:sz w:val="16"/>
            </w:rPr>
            <w:t>ul. ks. J. Popiełuszki 2</w:t>
          </w:r>
        </w:p>
        <w:p>
          <w:pPr>
            <w:pStyle w:val="Header"/>
            <w:tabs>
              <w:tab w:val="center" w:pos="4536" w:leader="none"/>
              <w:tab w:val="right" w:pos="6061" w:leader="none"/>
              <w:tab w:val="right" w:pos="9072" w:leader="none"/>
            </w:tabs>
            <w:spacing w:lineRule="auto" w:line="218"/>
            <w:rPr>
              <w:rFonts w:ascii="PalatinoPL" w:hAnsi="PalatinoPL" w:cs="PalatinoPL"/>
              <w:i/>
              <w:i/>
              <w:sz w:val="16"/>
            </w:rPr>
          </w:pPr>
          <w:r>
            <w:rPr>
              <w:rFonts w:cs="PalatinoPL" w:ascii="PalatinoPL" w:hAnsi="PalatinoPL"/>
              <w:i/>
              <w:sz w:val="16"/>
            </w:rPr>
            <w:t>37-310 Nowa Sarzyna</w:t>
          </w:r>
        </w:p>
        <w:p>
          <w:pPr>
            <w:pStyle w:val="Header"/>
            <w:tabs>
              <w:tab w:val="center" w:pos="4536" w:leader="none"/>
              <w:tab w:val="right" w:pos="6061" w:leader="none"/>
              <w:tab w:val="right" w:pos="9072" w:leader="none"/>
            </w:tabs>
            <w:spacing w:lineRule="auto" w:line="218"/>
            <w:rPr>
              <w:rFonts w:ascii="PalatinoPL" w:hAnsi="PalatinoPL" w:cs="PalatinoPL"/>
              <w:i/>
              <w:i/>
              <w:sz w:val="16"/>
            </w:rPr>
          </w:pPr>
          <w:r>
            <w:rPr>
              <w:rFonts w:cs="PalatinoPL" w:ascii="PalatinoPL" w:hAnsi="PalatinoPL"/>
              <w:i/>
              <w:sz w:val="16"/>
            </w:rPr>
            <w:t>Poland</w:t>
          </w:r>
        </w:p>
        <w:p>
          <w:pPr>
            <w:pStyle w:val="Header"/>
            <w:tabs>
              <w:tab w:val="center" w:pos="4536" w:leader="none"/>
              <w:tab w:val="right" w:pos="6061" w:leader="none"/>
              <w:tab w:val="right" w:pos="9072" w:leader="none"/>
            </w:tabs>
            <w:spacing w:lineRule="auto" w:line="218"/>
            <w:rPr>
              <w:rFonts w:ascii="PalatinoPL" w:hAnsi="PalatinoPL" w:cs="PalatinoPL"/>
              <w:i/>
              <w:i/>
              <w:sz w:val="16"/>
            </w:rPr>
          </w:pPr>
          <w:r>
            <w:rPr>
              <w:rFonts w:cs="PalatinoPL" w:ascii="PalatinoPL" w:hAnsi="PalatinoPL"/>
              <w:i/>
              <w:sz w:val="16"/>
            </w:rPr>
            <w:t>tel. +48 17 24 05 000</w:t>
          </w:r>
        </w:p>
        <w:p>
          <w:pPr>
            <w:pStyle w:val="Header"/>
            <w:tabs>
              <w:tab w:val="center" w:pos="4536" w:leader="none"/>
              <w:tab w:val="right" w:pos="6061" w:leader="none"/>
              <w:tab w:val="right" w:pos="9072" w:leader="none"/>
            </w:tabs>
            <w:spacing w:lineRule="auto" w:line="218"/>
            <w:rPr>
              <w:lang w:val="en-US"/>
            </w:rPr>
          </w:pPr>
          <w:r>
            <w:rPr>
              <w:rFonts w:cs="PalatinoPL" w:ascii="PalatinoPL" w:hAnsi="PalatinoPL"/>
              <w:i/>
              <w:sz w:val="16"/>
              <w:lang w:val="en-US"/>
            </w:rPr>
            <w:t>fax +48 17 24 11 196</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480"/>
        </w:tabs>
        <w:ind w:start="48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rPr/>
    </w:lvl>
    <w:lvl w:ilvl="1">
      <w:start w:val="2"/>
      <w:isLgl/>
      <w:numFmt w:val="decimal"/>
      <w:lvlText w:val="%1.%2."/>
      <w:lvlJc w:val="start"/>
      <w:pPr>
        <w:tabs>
          <w:tab w:val="num" w:pos="480"/>
        </w:tabs>
        <w:ind w:start="480" w:hanging="480"/>
      </w:pPr>
      <w:rPr>
        <w:i w:val="false"/>
        <w:b w:val="false"/>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center"/>
      <w:outlineLvl w:val="0"/>
    </w:pPr>
    <w:rPr>
      <w:b/>
      <w:sz w:val="52"/>
    </w:rPr>
  </w:style>
  <w:style w:type="character" w:styleId="WW8Num2z0">
    <w:name w:val="WW8Num2z0"/>
    <w:qFormat/>
    <w:rPr>
      <w:rFonts w:ascii="Symbol" w:hAnsi="Symbol" w:cs="Symbol"/>
    </w:rPr>
  </w:style>
  <w:style w:type="character" w:styleId="WW8Num3z0">
    <w:name w:val="WW8Num3z0"/>
    <w:qFormat/>
    <w:rPr/>
  </w:style>
  <w:style w:type="character" w:styleId="WW8Num3z1">
    <w:name w:val="WW8Num3z1"/>
    <w:qFormat/>
    <w:rPr>
      <w:b w:val="false"/>
      <w:i w:val="false"/>
    </w:rPr>
  </w:style>
  <w:style w:type="character" w:styleId="Domylnaczcionkaakapitu">
    <w:name w:val="Domyślna czcionka akapitu"/>
    <w:qFormat/>
    <w:rPr/>
  </w:style>
  <w:style w:type="character" w:styleId="PageNumber">
    <w:name w:val="page number"/>
    <w:basedOn w:val="Domylnaczcionkaakapitu"/>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2001-11-09T03:56:00Z</dcterms:created>
  <dc:creator>ENRON INTERNATIONAL</dc:creator>
  <dc:description/>
  <dc:language>en-CA</dc:language>
  <cp:lastModifiedBy>rmaziarz</cp:lastModifiedBy>
  <cp:lastPrinted>2001-11-14T11:02:00Z</cp:lastPrinted>
  <dcterms:modified xsi:type="dcterms:W3CDTF">2001-11-14T07:32:00Z</dcterms:modified>
  <cp:revision>16</cp:revision>
  <dc:subject/>
  <dc:title>1</dc:title>
</cp:coreProperties>
</file>