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jc w:val="center"/>
        <w:rPr>
          <w:rFonts w:ascii="Arial" w:hAnsi="Arial" w:cs="Arial"/>
          <w:b/>
          <w:bCs/>
          <w:color w:val="000000"/>
        </w:rPr>
      </w:pPr>
      <w:r>
        <w:rPr>
          <w:rFonts w:cs="Arial" w:ascii="Arial" w:hAnsi="Arial"/>
          <w:b/>
          <w:bCs/>
          <w:color w:val="000000"/>
        </w:rPr>
        <w:t>Enron Canada Corp. – Indicative Proposal</w:t>
      </w:r>
    </w:p>
    <w:p>
      <w:pPr>
        <w:pStyle w:val="Normal"/>
        <w:autoSpaceDE w:val="false"/>
        <w:spacing w:lineRule="atLeast" w:line="240"/>
        <w:rPr>
          <w:rFonts w:ascii="Arial" w:hAnsi="Arial" w:cs="Arial"/>
          <w:b/>
          <w:bCs/>
          <w:color w:val="000000"/>
          <w:sz w:val="22"/>
        </w:rPr>
      </w:pPr>
      <w:r>
        <w:rPr>
          <w:rFonts w:cs="Arial" w:ascii="Arial" w:hAnsi="Arial"/>
          <w:b/>
          <w:bCs/>
          <w:color w:val="000000"/>
          <w:sz w:val="22"/>
        </w:rPr>
      </w:r>
    </w:p>
    <w:p>
      <w:pPr>
        <w:pStyle w:val="Normal"/>
        <w:keepNext w:val="true"/>
        <w:autoSpaceDE w:val="false"/>
        <w:spacing w:lineRule="atLeast" w:line="240"/>
        <w:rPr>
          <w:rFonts w:ascii="Arial" w:hAnsi="Arial" w:cs="Arial"/>
          <w:b/>
          <w:bCs/>
          <w:color w:val="000000"/>
          <w:sz w:val="22"/>
        </w:rPr>
      </w:pPr>
      <w:r>
        <w:rPr>
          <w:rFonts w:cs="Arial" w:ascii="Arial" w:hAnsi="Arial"/>
          <w:b/>
          <w:bCs/>
          <w:color w:val="000000"/>
          <w:sz w:val="22"/>
        </w:rPr>
        <w:t>Executive Summary</w:t>
      </w:r>
    </w:p>
    <w:p>
      <w:pPr>
        <w:pStyle w:val="Normal"/>
        <w:keepNext w:val="true"/>
        <w:autoSpaceDE w:val="false"/>
        <w:spacing w:lineRule="atLeast" w:line="240"/>
        <w:rPr>
          <w:rFonts w:ascii="Arial" w:hAnsi="Arial" w:cs="Arial"/>
          <w:b/>
          <w:bCs/>
          <w:color w:val="000000"/>
          <w:sz w:val="22"/>
        </w:rPr>
      </w:pPr>
      <w:r>
        <w:rPr>
          <w:rFonts w:cs="Arial" w:ascii="Arial" w:hAnsi="Arial"/>
          <w:b/>
          <w:bCs/>
          <w:color w:val="000000"/>
          <w:sz w:val="22"/>
        </w:rPr>
      </w:r>
    </w:p>
    <w:p>
      <w:pPr>
        <w:pStyle w:val="BodyText"/>
        <w:jc w:val="both"/>
        <w:rPr/>
      </w:pPr>
      <w:r>
        <w:rPr/>
        <w:t>In order to assist the Province of Ontario (the” Province”) address concerns regarding the return of Pickering A and thereby facilitate a March 1, 2002 de-regulated electricity market opening, Enron Canada Corp. (“ECC”) is pleased to present this proposal (“Proposal”) for the sale of electric energy to the Province or an agent of the Province.  Upon the request of the Province, ECC is willing to enter into negotiations with the Province or its designated agent for the purpose of executing a definitive agreement containing, among other provisions, terms and conditions similar to those outlined under the heading “Description of Proposal”.</w:t>
      </w:r>
    </w:p>
    <w:p>
      <w:pPr>
        <w:pStyle w:val="Normal"/>
        <w:keepNext w:val="true"/>
        <w:autoSpaceDE w:val="false"/>
        <w:spacing w:lineRule="atLeast" w:line="240"/>
        <w:jc w:val="both"/>
        <w:rPr>
          <w:rFonts w:ascii="Arial" w:hAnsi="Arial" w:cs="Arial"/>
          <w:color w:val="000000"/>
          <w:sz w:val="22"/>
        </w:rPr>
      </w:pPr>
      <w:r>
        <w:rPr>
          <w:rFonts w:cs="Arial" w:ascii="Arial" w:hAnsi="Arial"/>
          <w:color w:val="000000"/>
          <w:sz w:val="22"/>
        </w:rPr>
      </w:r>
    </w:p>
    <w:p>
      <w:pPr>
        <w:pStyle w:val="Normal"/>
        <w:keepNext w:val="true"/>
        <w:autoSpaceDE w:val="false"/>
        <w:spacing w:lineRule="atLeast" w:line="240"/>
        <w:jc w:val="both"/>
        <w:rPr>
          <w:rFonts w:ascii="Arial" w:hAnsi="Arial" w:cs="Arial"/>
          <w:b/>
          <w:bCs/>
          <w:color w:val="000000"/>
          <w:sz w:val="22"/>
        </w:rPr>
      </w:pPr>
      <w:r>
        <w:rPr>
          <w:rFonts w:cs="Arial" w:ascii="Arial" w:hAnsi="Arial"/>
          <w:b/>
          <w:bCs/>
          <w:color w:val="000000"/>
          <w:sz w:val="22"/>
        </w:rPr>
      </w:r>
    </w:p>
    <w:p>
      <w:pPr>
        <w:pStyle w:val="Normal"/>
        <w:keepNext w:val="true"/>
        <w:autoSpaceDE w:val="false"/>
        <w:spacing w:lineRule="atLeast" w:line="240"/>
        <w:jc w:val="both"/>
        <w:rPr>
          <w:rFonts w:ascii="Arial" w:hAnsi="Arial" w:cs="Arial"/>
          <w:b/>
          <w:bCs/>
          <w:color w:val="000000"/>
          <w:sz w:val="22"/>
        </w:rPr>
      </w:pPr>
      <w:r>
        <w:rPr>
          <w:rFonts w:cs="Arial" w:ascii="Arial" w:hAnsi="Arial"/>
          <w:b/>
          <w:bCs/>
          <w:color w:val="000000"/>
          <w:sz w:val="22"/>
        </w:rPr>
        <w:t>Description of Proposal</w:t>
      </w:r>
    </w:p>
    <w:p>
      <w:pPr>
        <w:pStyle w:val="Normal"/>
        <w:keepNext w:val="true"/>
        <w:autoSpaceDE w:val="false"/>
        <w:spacing w:lineRule="atLeast" w:line="240"/>
        <w:jc w:val="both"/>
        <w:rPr>
          <w:rFonts w:ascii="Arial" w:hAnsi="Arial" w:cs="Arial"/>
          <w:b/>
          <w:bCs/>
          <w:color w:val="000000"/>
          <w:sz w:val="22"/>
        </w:rPr>
      </w:pPr>
      <w:r>
        <w:rPr>
          <w:rFonts w:cs="Arial" w:ascii="Arial" w:hAnsi="Arial"/>
          <w:b/>
          <w:bCs/>
          <w:color w:val="000000"/>
          <w:sz w:val="22"/>
        </w:rPr>
      </w:r>
    </w:p>
    <w:p>
      <w:pPr>
        <w:pStyle w:val="BodyText2"/>
        <w:rPr/>
      </w:pPr>
      <w:r>
        <w:rPr/>
        <w:t>500MW sale by ECC or its affiliate in New York ISO Zone A for on-peak delivery from March 1, 2002 through July 31, 2002 at a purchase price of CDN $65.80 per MWh.</w:t>
      </w:r>
    </w:p>
    <w:p>
      <w:pPr>
        <w:pStyle w:val="Normal"/>
        <w:autoSpaceDE w:val="false"/>
        <w:spacing w:lineRule="atLeast" w:line="240"/>
        <w:jc w:val="both"/>
        <w:rPr>
          <w:rFonts w:ascii="Arial" w:hAnsi="Arial" w:cs="Arial"/>
          <w:color w:val="000000"/>
          <w:sz w:val="22"/>
        </w:rPr>
      </w:pPr>
      <w:r>
        <w:rPr>
          <w:rFonts w:cs="Arial" w:ascii="Arial" w:hAnsi="Arial"/>
          <w:color w:val="000000"/>
          <w:sz w:val="22"/>
        </w:rPr>
      </w:r>
    </w:p>
    <w:p>
      <w:pPr>
        <w:pStyle w:val="Normal"/>
        <w:autoSpaceDE w:val="false"/>
        <w:spacing w:lineRule="atLeast" w:line="240"/>
        <w:jc w:val="both"/>
        <w:rPr>
          <w:rFonts w:ascii="Arial" w:hAnsi="Arial" w:cs="Arial"/>
          <w:color w:val="000000"/>
          <w:sz w:val="22"/>
        </w:rPr>
      </w:pPr>
      <w:r>
        <w:rPr>
          <w:rFonts w:cs="Arial" w:ascii="Arial" w:hAnsi="Arial"/>
          <w:color w:val="000000"/>
          <w:sz w:val="22"/>
        </w:rPr>
        <w:t>On-peak delivery hours are hours ending 8 to 23 on any Monday through Friday, excluding holidays.</w:t>
      </w:r>
    </w:p>
    <w:p>
      <w:pPr>
        <w:pStyle w:val="Normal"/>
        <w:autoSpaceDE w:val="false"/>
        <w:spacing w:lineRule="atLeast" w:line="240"/>
        <w:jc w:val="both"/>
        <w:rPr>
          <w:rFonts w:ascii="Arial" w:hAnsi="Arial" w:cs="Arial"/>
          <w:b/>
          <w:bCs/>
          <w:color w:val="000000"/>
          <w:sz w:val="22"/>
        </w:rPr>
      </w:pPr>
      <w:r>
        <w:rPr>
          <w:rFonts w:cs="Arial" w:ascii="Arial" w:hAnsi="Arial"/>
          <w:b/>
          <w:bCs/>
          <w:color w:val="000000"/>
          <w:sz w:val="22"/>
        </w:rPr>
      </w:r>
    </w:p>
    <w:p>
      <w:pPr>
        <w:pStyle w:val="BodyText2"/>
        <w:rPr/>
      </w:pPr>
      <w:r>
        <w:rPr/>
        <w:t>The Province or its designated agent shall be responsible for all costs associated with delivering the power from New York ISO Zone A into the Province.</w:t>
      </w:r>
    </w:p>
    <w:p>
      <w:pPr>
        <w:pStyle w:val="Normal"/>
        <w:autoSpaceDE w:val="false"/>
        <w:spacing w:lineRule="atLeast" w:line="240"/>
        <w:jc w:val="both"/>
        <w:rPr>
          <w:rFonts w:ascii="Arial" w:hAnsi="Arial" w:cs="Arial"/>
          <w:b/>
          <w:bCs/>
          <w:color w:val="000000"/>
          <w:sz w:val="22"/>
        </w:rPr>
      </w:pPr>
      <w:r>
        <w:rPr>
          <w:rFonts w:cs="Arial" w:ascii="Arial" w:hAnsi="Arial"/>
          <w:b/>
          <w:bCs/>
          <w:color w:val="000000"/>
          <w:sz w:val="22"/>
        </w:rPr>
      </w:r>
    </w:p>
    <w:p>
      <w:pPr>
        <w:pStyle w:val="Normal"/>
        <w:autoSpaceDE w:val="false"/>
        <w:spacing w:lineRule="atLeast" w:line="240"/>
        <w:jc w:val="both"/>
        <w:rPr>
          <w:rFonts w:ascii="Arial" w:hAnsi="Arial" w:cs="Arial"/>
          <w:b/>
          <w:bCs/>
          <w:color w:val="000000"/>
          <w:sz w:val="22"/>
        </w:rPr>
      </w:pPr>
      <w:r>
        <w:rPr>
          <w:rFonts w:cs="Arial" w:ascii="Arial" w:hAnsi="Arial"/>
          <w:b/>
          <w:bCs/>
          <w:color w:val="000000"/>
          <w:sz w:val="22"/>
        </w:rPr>
      </w:r>
    </w:p>
    <w:p>
      <w:pPr>
        <w:pStyle w:val="Normal"/>
        <w:autoSpaceDE w:val="false"/>
        <w:spacing w:lineRule="atLeast" w:line="240"/>
        <w:jc w:val="both"/>
        <w:rPr>
          <w:rFonts w:ascii="Arial" w:hAnsi="Arial" w:cs="Arial"/>
          <w:b/>
          <w:bCs/>
          <w:color w:val="000000"/>
          <w:sz w:val="22"/>
        </w:rPr>
      </w:pPr>
      <w:r>
        <w:rPr>
          <w:rFonts w:cs="Arial" w:ascii="Arial" w:hAnsi="Arial"/>
          <w:b/>
          <w:bCs/>
          <w:color w:val="000000"/>
          <w:sz w:val="22"/>
        </w:rPr>
      </w:r>
    </w:p>
    <w:p>
      <w:pPr>
        <w:pStyle w:val="Normal"/>
        <w:autoSpaceDE w:val="false"/>
        <w:spacing w:lineRule="atLeast" w:line="240"/>
        <w:jc w:val="both"/>
        <w:rPr>
          <w:rFonts w:ascii="Arial" w:hAnsi="Arial" w:cs="Arial"/>
          <w:b/>
          <w:bCs/>
          <w:color w:val="000000"/>
          <w:sz w:val="22"/>
        </w:rPr>
      </w:pPr>
      <w:r>
        <w:rPr>
          <w:rFonts w:cs="Arial" w:ascii="Arial" w:hAnsi="Arial"/>
          <w:b/>
          <w:bCs/>
          <w:color w:val="000000"/>
          <w:sz w:val="22"/>
        </w:rPr>
      </w:r>
    </w:p>
    <w:p>
      <w:pPr>
        <w:pStyle w:val="BodyText"/>
        <w:keepNext w:val="false"/>
        <w:jc w:val="both"/>
        <w:rPr>
          <w:rFonts w:ascii="Arial" w:hAnsi="Arial" w:cs="Arial"/>
          <w:b/>
          <w:bCs/>
          <w:color w:val="000000"/>
          <w:sz w:val="22"/>
        </w:rPr>
      </w:pPr>
      <w:r>
        <w:rPr>
          <w:rFonts w:cs="Arial"/>
          <w:b/>
          <w:bCs/>
          <w:color w:val="000000"/>
          <w:sz w:val="22"/>
        </w:rPr>
      </w:r>
    </w:p>
    <w:p>
      <w:pPr>
        <w:pStyle w:val="Normal"/>
        <w:jc w:val="both"/>
        <w:rPr>
          <w:rFonts w:ascii="Arial" w:hAnsi="Arial" w:cs="Arial"/>
          <w:sz w:val="22"/>
        </w:rPr>
      </w:pPr>
      <w:r>
        <w:rPr>
          <w:rFonts w:cs="Arial" w:ascii="Arial" w:hAnsi="Arial"/>
          <w:sz w:val="22"/>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keepNext w:val="false"/>
      <w:jc w:val="both"/>
      <w:rPr>
        <w:sz w:val="16"/>
      </w:rPr>
    </w:pPr>
    <w:r>
      <w:rPr>
        <w:sz w:val="16"/>
      </w:rPr>
      <w:t>The Proposal presented by ECC is for discussion purposes only.  The price set forth herein is an indicative price only, and is subject to change or revision until, if ever, a definitive agreement relating to the Proposal is executed.  The Proposal does not constitute an offer by ECC and is not intended to create a binding or enforceable contract, commitment or obligation and may not be relied on by either the Province or ECC as a basis for a contract by estoppel or otherwise.  Consummation of any transaction is subject to, among other things, negotiation, execution and delivery of a definitive agreement.</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lineRule="atLeast" w:line="240"/>
      <w:outlineLvl w:val="0"/>
    </w:pPr>
    <w:rPr>
      <w:rFonts w:ascii="Arial" w:hAnsi="Arial" w:cs="Arial"/>
      <w:b/>
      <w:bCs/>
      <w:color w:val="000000"/>
      <w:sz w:val="22"/>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autoSpaceDE w:val="false"/>
      <w:spacing w:lineRule="atLeast" w:line="240"/>
    </w:pPr>
    <w:rPr>
      <w:rFonts w:ascii="Arial" w:hAnsi="Arial" w:cs="Arial"/>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BodyText2">
    <w:name w:val="Body Text 2"/>
    <w:basedOn w:val="Normal"/>
    <w:qFormat/>
    <w:pPr>
      <w:autoSpaceDE w:val="false"/>
      <w:spacing w:lineRule="atLeast" w:line="240"/>
      <w:jc w:val="both"/>
    </w:pPr>
    <w:rPr>
      <w:rFonts w:ascii="Arial" w:hAnsi="Arial" w:cs="Arial"/>
      <w:color w:val="000000"/>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2001-08-01T13:23:00Z</dcterms:created>
  <dc:creator>cgaffne</dc:creator>
  <dc:description/>
  <dc:language>en-CA</dc:language>
  <cp:lastModifiedBy>lassaf</cp:lastModifiedBy>
  <cp:lastPrinted>2001-07-05T14:32:00Z</cp:lastPrinted>
  <dcterms:modified xsi:type="dcterms:W3CDTF">2001-08-01T15:24:00Z</dcterms:modified>
  <cp:revision>5</cp:revision>
  <dc:subject/>
  <dc:title>Enron Canada Corp</dc:title>
</cp:coreProperties>
</file>