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drawing>
          <wp:inline distT="0" distB="0" distL="0" distR="0">
            <wp:extent cx="3687445" cy="690245"/>
            <wp:effectExtent l="0" t="0" r="0" b="0"/>
            <wp:docPr id="1" name="new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logo" descr="" title=""/>
                    <pic:cNvPicPr>
                      <a:picLocks noChangeAspect="1" noChangeArrowheads="1"/>
                    </pic:cNvPicPr>
                  </pic:nvPicPr>
                  <pic:blipFill>
                    <a:blip r:embed="rId2"/>
                    <a:srcRect l="-6" t="-34" r="-6" b="-34"/>
                    <a:stretch>
                      <a:fillRect/>
                    </a:stretch>
                  </pic:blipFill>
                  <pic:spPr bwMode="auto">
                    <a:xfrm>
                      <a:off x="0" y="0"/>
                      <a:ext cx="3687445" cy="690245"/>
                    </a:xfrm>
                    <a:prstGeom prst="rect">
                      <a:avLst/>
                    </a:prstGeom>
                    <a:noFill/>
                  </pic:spPr>
                </pic:pic>
              </a:graphicData>
            </a:graphic>
          </wp:inline>
        </w:drawing>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BodyText3"/>
        <w:rPr/>
      </w:pPr>
      <w:r>
        <w:rPr>
          <w:sz w:val="48"/>
        </w:rPr>
        <w:t>Direct FuelCell</w:t>
      </w:r>
      <w:r>
        <w:rPr>
          <w:i/>
          <w:sz w:val="48"/>
        </w:rPr>
        <w:t xml:space="preserve">® </w:t>
      </w:r>
      <w:r>
        <w:rPr>
          <w:sz w:val="48"/>
        </w:rPr>
        <w:t>Powerplant</w:t>
      </w:r>
    </w:p>
    <w:p>
      <w:pPr>
        <w:pStyle w:val="BodyText3"/>
        <w:rPr>
          <w:sz w:val="48"/>
        </w:rPr>
      </w:pPr>
      <w:r>
        <w:rPr>
          <w:sz w:val="48"/>
        </w:rPr>
        <w:t>Preliminary Specification</w:t>
      </w:r>
    </w:p>
    <w:p>
      <w:pPr>
        <w:pStyle w:val="Normal"/>
        <w:jc w:val="center"/>
        <w:rPr>
          <w:b/>
          <w:sz w:val="48"/>
        </w:rPr>
      </w:pPr>
      <w:r>
        <w:rPr>
          <w:b/>
          <w:sz w:val="48"/>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sz w:val="28"/>
        </w:rPr>
      </w:pPr>
      <w:r>
        <w:rPr>
          <w:b/>
          <w:sz w:val="28"/>
        </w:rPr>
      </w:r>
    </w:p>
    <w:p>
      <w:pPr>
        <w:pStyle w:val="Normal"/>
        <w:jc w:val="center"/>
        <w:rPr>
          <w:b/>
          <w:sz w:val="40"/>
        </w:rPr>
      </w:pPr>
      <w:r>
        <w:rPr>
          <w:b/>
          <w:sz w:val="40"/>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BodyText2"/>
        <w:jc w:val="center"/>
        <w:rPr>
          <w:b w:val="false"/>
          <w:sz w:val="28"/>
        </w:rPr>
      </w:pPr>
      <w:r>
        <w:rPr>
          <w:b w:val="false"/>
          <w:sz w:val="28"/>
        </w:rPr>
      </w:r>
      <w:r>
        <w:br w:type="page"/>
      </w:r>
    </w:p>
    <w:p>
      <w:pPr>
        <w:pStyle w:val="BodyText2"/>
        <w:rPr/>
      </w:pPr>
      <w:r>
        <w:rPr/>
        <w:t>1.0</w:t>
        <w:tab/>
        <w:t>INTRODUCTION</w:t>
      </w:r>
    </w:p>
    <w:p>
      <w:pPr>
        <w:pStyle w:val="Normal"/>
        <w:jc w:val="both"/>
        <w:rPr/>
      </w:pPr>
      <w:r>
        <w:rPr/>
        <w:t>This document summarizes the design specifications for FCE’s 2MW and 2.4MW Direct FuelCell (DFC®) powerplants. The physical configuration of the powerplants are identical, and they differ only in the output capabilities of the installed stack modules.  The powerplant consists of power generation and balance of plant skids arranged to provide sufficient access while taking up a minimum of footprint. The major elements of the powerplant include:</w:t>
      </w:r>
    </w:p>
    <w:p>
      <w:pPr>
        <w:pStyle w:val="Normal"/>
        <w:numPr>
          <w:ilvl w:val="0"/>
          <w:numId w:val="4"/>
        </w:numPr>
        <w:jc w:val="both"/>
        <w:rPr/>
      </w:pPr>
      <w:r>
        <w:rPr/>
        <w:t>DC Power Section: Two 4-stack DFC® modules, which generate DC power</w:t>
      </w:r>
    </w:p>
    <w:p>
      <w:pPr>
        <w:pStyle w:val="Normal"/>
        <w:numPr>
          <w:ilvl w:val="0"/>
          <w:numId w:val="4"/>
        </w:numPr>
        <w:jc w:val="both"/>
        <w:rPr/>
      </w:pPr>
      <w:r>
        <w:rPr/>
        <w:t>Power Conversion Skid: DC to AC conversion and voltage step-up transformation</w:t>
      </w:r>
    </w:p>
    <w:p>
      <w:pPr>
        <w:pStyle w:val="Normal"/>
        <w:numPr>
          <w:ilvl w:val="0"/>
          <w:numId w:val="4"/>
        </w:numPr>
        <w:jc w:val="both"/>
        <w:rPr/>
      </w:pPr>
      <w:r>
        <w:rPr/>
        <w:t>Heat Recovery Unit (HRU) Skid: Fuel preheat, steam generation, and fuel cleanup</w:t>
      </w:r>
    </w:p>
    <w:p>
      <w:pPr>
        <w:pStyle w:val="Normal"/>
        <w:numPr>
          <w:ilvl w:val="0"/>
          <w:numId w:val="4"/>
        </w:numPr>
        <w:jc w:val="both"/>
        <w:rPr/>
      </w:pPr>
      <w:r>
        <w:rPr/>
        <w:t>Oxidant Supply:  Air preheat using catalytic oxidation of anode exhaust residual fuel</w:t>
      </w:r>
    </w:p>
    <w:p>
      <w:pPr>
        <w:pStyle w:val="Normal"/>
        <w:numPr>
          <w:ilvl w:val="0"/>
          <w:numId w:val="4"/>
        </w:numPr>
        <w:jc w:val="both"/>
        <w:rPr/>
      </w:pPr>
      <w:r>
        <w:rPr/>
        <w:t>Water Treatment and Storage and Instrument Air Skid</w:t>
      </w:r>
    </w:p>
    <w:p>
      <w:pPr>
        <w:pStyle w:val="Normal"/>
        <w:numPr>
          <w:ilvl w:val="0"/>
          <w:numId w:val="4"/>
        </w:numPr>
        <w:jc w:val="both"/>
        <w:rPr/>
      </w:pPr>
      <w:r>
        <w:rPr/>
        <w:t>Control System and Interface Panel</w:t>
      </w:r>
    </w:p>
    <w:p>
      <w:pPr>
        <w:pStyle w:val="Normal"/>
        <w:jc w:val="both"/>
        <w:rPr/>
      </w:pPr>
      <w:r>
        <w:rPr/>
        <w:tab/>
      </w:r>
    </w:p>
    <w:p>
      <w:pPr>
        <w:pStyle w:val="Normal"/>
        <w:jc w:val="both"/>
        <w:rPr/>
      </w:pPr>
      <w:r>
        <w:rPr/>
        <w:t>The arrangement of the system is shown in Figure 1:</w:t>
      </w:r>
    </w:p>
    <w:p>
      <w:pPr>
        <w:pStyle w:val="Normal"/>
        <w:jc w:val="both"/>
        <w:rPr>
          <w:lang w:val="en-CA"/>
        </w:rPr>
      </w:pPr>
      <w:r>
        <w:rPr>
          <w:lang w:val="en-CA"/>
        </w:rPr>
      </w:r>
      <w:r>
        <mc:AlternateContent>
          <mc:Choice Requires="wps">
            <w:drawing>
              <wp:anchor behindDoc="0" distT="0" distB="0" distL="114935" distR="114935" simplePos="0" locked="0" layoutInCell="1" allowOverlap="1" relativeHeight="31">
                <wp:simplePos x="0" y="0"/>
                <wp:positionH relativeFrom="column">
                  <wp:posOffset>3383280</wp:posOffset>
                </wp:positionH>
                <wp:positionV relativeFrom="paragraph">
                  <wp:posOffset>75565</wp:posOffset>
                </wp:positionV>
                <wp:extent cx="944880" cy="464820"/>
                <wp:effectExtent l="0" t="0" r="0" b="0"/>
                <wp:wrapNone/>
                <wp:docPr id="2" name="Frame1"/>
                <a:graphic xmlns:a="http://schemas.openxmlformats.org/drawingml/2006/main">
                  <a:graphicData uri="http://schemas.microsoft.com/office/word/2010/wordprocessingShape">
                    <wps:wsp>
                      <wps:cNvSpPr txBox="1"/>
                      <wps:spPr>
                        <a:xfrm>
                          <a:off x="0" y="0"/>
                          <a:ext cx="944880" cy="464820"/>
                        </a:xfrm>
                        <a:prstGeom prst="rect"/>
                        <a:solidFill>
                          <a:srgbClr val="FFFFFF">
                            <a:alpha val="0"/>
                          </a:srgbClr>
                        </a:solidFill>
                      </wps:spPr>
                      <wps:txbx>
                        <w:txbxContent>
                          <w:p>
                            <w:pPr>
                              <w:pStyle w:val="Normal"/>
                              <w:rPr>
                                <w:sz w:val="16"/>
                              </w:rPr>
                            </w:pPr>
                            <w:r>
                              <w:rPr>
                                <w:sz w:val="16"/>
                              </w:rPr>
                              <w:t>Utility Interconnect &amp; Switchgear</w:t>
                            </w:r>
                          </w:p>
                        </w:txbxContent>
                      </wps:txbx>
                      <wps:bodyPr anchor="t" lIns="92075" tIns="46355" rIns="92075" bIns="46355">
                        <a:noAutofit/>
                      </wps:bodyPr>
                    </wps:wsp>
                  </a:graphicData>
                </a:graphic>
              </wp:anchor>
            </w:drawing>
          </mc:Choice>
          <mc:Fallback>
            <w:pict>
              <v:rect fillcolor="#FFFFFF" style="position:absolute;rotation:-0;width:74.4pt;height:36.6pt;mso-wrap-distance-left:9.05pt;mso-wrap-distance-right:9.05pt;mso-wrap-distance-top:0pt;mso-wrap-distance-bottom:0pt;margin-top:5.95pt;mso-position-vertical-relative:text;margin-left:266.4pt;mso-position-horizontal-relative:text">
                <v:fill opacity="0f"/>
                <v:textbox inset="0.100694444444444in,0.0506944444444444in,0.100694444444444in,0.0506944444444444in">
                  <w:txbxContent>
                    <w:p>
                      <w:pPr>
                        <w:pStyle w:val="Normal"/>
                        <w:rPr>
                          <w:sz w:val="16"/>
                        </w:rPr>
                      </w:pPr>
                      <w:r>
                        <w:rPr>
                          <w:sz w:val="16"/>
                        </w:rPr>
                        <w:t>Utility Interconnect &amp; Switchgear</w:t>
                      </w:r>
                    </w:p>
                  </w:txbxContent>
                </v:textbox>
                <w10:wrap type="none"/>
              </v:rect>
            </w:pict>
          </mc:Fallback>
        </mc:AlternateContent>
      </w:r>
    </w:p>
    <w:p>
      <w:pPr>
        <w:pStyle w:val="Normal"/>
        <w:jc w:val="both"/>
        <w:rPr/>
      </w:pPr>
      <w:r>
        <w:rPr/>
      </w:r>
    </w:p>
    <w:p>
      <w:pPr>
        <w:pStyle w:val="Normal"/>
        <w:jc w:val="both"/>
        <w:rPr>
          <w:lang w:val="en-CA"/>
        </w:rPr>
      </w:pPr>
      <w:r>
        <w:rPr>
          <w:lang w:val="en-CA"/>
        </w:rPr>
      </w:r>
      <w:r>
        <mc:AlternateContent>
          <mc:Choice Requires="wps">
            <w:drawing>
              <wp:anchor behindDoc="0" distT="0" distB="0" distL="114935" distR="114935" simplePos="0" locked="0" layoutInCell="1" allowOverlap="1" relativeHeight="5">
                <wp:simplePos x="0" y="0"/>
                <wp:positionH relativeFrom="column">
                  <wp:posOffset>274320</wp:posOffset>
                </wp:positionH>
                <wp:positionV relativeFrom="paragraph">
                  <wp:posOffset>-635</wp:posOffset>
                </wp:positionV>
                <wp:extent cx="5294630" cy="3474720"/>
                <wp:effectExtent l="0" t="0" r="0" b="0"/>
                <wp:wrapNone/>
                <wp:docPr id="3" name="Frame4"/>
                <a:graphic xmlns:a="http://schemas.openxmlformats.org/drawingml/2006/main">
                  <a:graphicData uri="http://schemas.microsoft.com/office/word/2010/wordprocessingShape">
                    <wps:wsp>
                      <wps:cNvSpPr txBox="1"/>
                      <wps:spPr>
                        <a:xfrm>
                          <a:off x="0" y="0"/>
                          <a:ext cx="5294630" cy="3474720"/>
                        </a:xfrm>
                        <a:prstGeom prst="rect"/>
                        <a:solidFill>
                          <a:srgbClr val="FFFFFF"/>
                        </a:solidFill>
                      </wps:spPr>
                      <wps:txbx>
                        <w:txbxContent>
                          <w:p>
                            <w:pPr>
                              <w:pStyle w:val="Normal"/>
                              <w:rPr/>
                            </w:pPr>
                            <w:r>
                              <w:rPr/>
                              <w:drawing>
                                <wp:inline distT="0" distB="0" distL="0" distR="0">
                                  <wp:extent cx="5102225" cy="3827145"/>
                                  <wp:effectExtent l="0" t="0" r="0" b="0"/>
                                  <wp:docPr id="4" name="3MW%20y2k%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MW%20y2k%20" descr="" title=""/>
                                          <pic:cNvPicPr>
                                            <a:picLocks noChangeAspect="1" noChangeArrowheads="1"/>
                                          </pic:cNvPicPr>
                                        </pic:nvPicPr>
                                        <pic:blipFill>
                                          <a:blip r:embed="rId3"/>
                                          <a:srcRect l="-4" t="-5" r="-4" b="-5"/>
                                          <a:stretch>
                                            <a:fillRect/>
                                          </a:stretch>
                                        </pic:blipFill>
                                        <pic:spPr bwMode="auto">
                                          <a:xfrm>
                                            <a:off x="0" y="0"/>
                                            <a:ext cx="5102225" cy="382714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416.9pt;height:273.6pt;mso-wrap-distance-left:9.05pt;mso-wrap-distance-right:9.05pt;mso-wrap-distance-top:0pt;mso-wrap-distance-bottom:0pt;margin-top:-0.05pt;mso-position-vertical-relative:text;margin-left:21.6pt;mso-position-horizontal-relative:text">
                <v:textbox inset="0.100694444444444in,0.0506944444444444in,0.100694444444444in,0.0506944444444444in">
                  <w:txbxContent>
                    <w:p>
                      <w:pPr>
                        <w:pStyle w:val="Normal"/>
                        <w:rPr/>
                      </w:pPr>
                      <w:r>
                        <w:rPr/>
                        <w:drawing>
                          <wp:inline distT="0" distB="0" distL="0" distR="0">
                            <wp:extent cx="5102225" cy="3827145"/>
                            <wp:effectExtent l="0" t="0" r="0" b="0"/>
                            <wp:docPr id="5" name="3MW%20y2k%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MW%20y2k%20" descr="" title=""/>
                                    <pic:cNvPicPr>
                                      <a:picLocks noChangeAspect="1" noChangeArrowheads="1"/>
                                    </pic:cNvPicPr>
                                  </pic:nvPicPr>
                                  <pic:blipFill>
                                    <a:blip r:embed="rId4"/>
                                    <a:srcRect l="-4" t="-5" r="-4" b="-5"/>
                                    <a:stretch>
                                      <a:fillRect/>
                                    </a:stretch>
                                  </pic:blipFill>
                                  <pic:spPr bwMode="auto">
                                    <a:xfrm>
                                      <a:off x="0" y="0"/>
                                      <a:ext cx="5102225" cy="3827145"/>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26">
                <wp:simplePos x="0" y="0"/>
                <wp:positionH relativeFrom="column">
                  <wp:posOffset>4259580</wp:posOffset>
                </wp:positionH>
                <wp:positionV relativeFrom="paragraph">
                  <wp:posOffset>14605</wp:posOffset>
                </wp:positionV>
                <wp:extent cx="769620" cy="563880"/>
                <wp:effectExtent l="0" t="0" r="0" b="0"/>
                <wp:wrapNone/>
                <wp:docPr id="6" name="Frame3"/>
                <a:graphic xmlns:a="http://schemas.openxmlformats.org/drawingml/2006/main">
                  <a:graphicData uri="http://schemas.microsoft.com/office/word/2010/wordprocessingShape">
                    <wps:wsp>
                      <wps:cNvSpPr txBox="1"/>
                      <wps:spPr>
                        <a:xfrm>
                          <a:off x="0" y="0"/>
                          <a:ext cx="769620" cy="563880"/>
                        </a:xfrm>
                        <a:prstGeom prst="rect"/>
                        <a:solidFill>
                          <a:srgbClr val="FFFFFF">
                            <a:alpha val="0"/>
                          </a:srgbClr>
                        </a:solidFill>
                      </wps:spPr>
                      <wps:txbx>
                        <w:txbxContent>
                          <w:p>
                            <w:pPr>
                              <w:pStyle w:val="Normal"/>
                              <w:rPr>
                                <w:sz w:val="16"/>
                              </w:rPr>
                            </w:pPr>
                            <w:r>
                              <w:rPr>
                                <w:sz w:val="16"/>
                              </w:rPr>
                              <w:t>Power Conversion and Transformer</w:t>
                            </w:r>
                          </w:p>
                        </w:txbxContent>
                      </wps:txbx>
                      <wps:bodyPr anchor="t" lIns="92075" tIns="46355" rIns="92075" bIns="46355">
                        <a:noAutofit/>
                      </wps:bodyPr>
                    </wps:wsp>
                  </a:graphicData>
                </a:graphic>
              </wp:anchor>
            </w:drawing>
          </mc:Choice>
          <mc:Fallback>
            <w:pict>
              <v:rect fillcolor="#FFFFFF" style="position:absolute;rotation:-0;width:60.6pt;height:44.4pt;mso-wrap-distance-left:9.05pt;mso-wrap-distance-right:9.05pt;mso-wrap-distance-top:0pt;mso-wrap-distance-bottom:0pt;margin-top:1.15pt;mso-position-vertical-relative:text;margin-left:335.4pt;mso-position-horizontal-relative:text">
                <v:fill opacity="0f"/>
                <v:textbox inset="0.100694444444444in,0.0506944444444444in,0.100694444444444in,0.0506944444444444in">
                  <w:txbxContent>
                    <w:p>
                      <w:pPr>
                        <w:pStyle w:val="Normal"/>
                        <w:rPr>
                          <w:sz w:val="16"/>
                        </w:rPr>
                      </w:pPr>
                      <w:r>
                        <w:rPr>
                          <w:sz w:val="16"/>
                        </w:rPr>
                        <w:t>Power Conversion and Transformer</w:t>
                      </w:r>
                    </w:p>
                  </w:txbxContent>
                </v:textbox>
                <w10:wrap type="none"/>
              </v:rect>
            </w:pict>
          </mc:Fallback>
        </mc:AlternateContent>
      </w:r>
      <w:r>
        <mc:AlternateContent>
          <mc:Choice Requires="wps">
            <w:drawing>
              <wp:anchor behindDoc="0" distT="0" distB="0" distL="114935" distR="114935" simplePos="0" locked="0" layoutInCell="1" allowOverlap="1" relativeHeight="30">
                <wp:simplePos x="0" y="0"/>
                <wp:positionH relativeFrom="column">
                  <wp:posOffset>2377440</wp:posOffset>
                </wp:positionH>
                <wp:positionV relativeFrom="paragraph">
                  <wp:posOffset>14605</wp:posOffset>
                </wp:positionV>
                <wp:extent cx="1112520" cy="533400"/>
                <wp:effectExtent l="0" t="0" r="0" b="0"/>
                <wp:wrapNone/>
                <wp:docPr id="7" name="Frame2"/>
                <a:graphic xmlns:a="http://schemas.openxmlformats.org/drawingml/2006/main">
                  <a:graphicData uri="http://schemas.microsoft.com/office/word/2010/wordprocessingShape">
                    <wps:wsp>
                      <wps:cNvSpPr txBox="1"/>
                      <wps:spPr>
                        <a:xfrm>
                          <a:off x="0" y="0"/>
                          <a:ext cx="1112520" cy="533400"/>
                        </a:xfrm>
                        <a:prstGeom prst="rect"/>
                        <a:solidFill>
                          <a:srgbClr val="FFFFFF">
                            <a:alpha val="0"/>
                          </a:srgbClr>
                        </a:solidFill>
                      </wps:spPr>
                      <wps:txbx>
                        <w:txbxContent>
                          <w:p>
                            <w:pPr>
                              <w:pStyle w:val="Normal"/>
                              <w:rPr>
                                <w:sz w:val="16"/>
                              </w:rPr>
                            </w:pPr>
                            <w:r>
                              <w:rPr>
                                <w:sz w:val="16"/>
                              </w:rPr>
                              <w:t>Heat Recovery Unit Behind Oxidant Supply Skid</w:t>
                            </w:r>
                          </w:p>
                        </w:txbxContent>
                      </wps:txbx>
                      <wps:bodyPr anchor="t" lIns="92075" tIns="46355" rIns="92075" bIns="46355">
                        <a:noAutofit/>
                      </wps:bodyPr>
                    </wps:wsp>
                  </a:graphicData>
                </a:graphic>
              </wp:anchor>
            </w:drawing>
          </mc:Choice>
          <mc:Fallback>
            <w:pict>
              <v:rect fillcolor="#FFFFFF" style="position:absolute;rotation:-0;width:87.6pt;height:42pt;mso-wrap-distance-left:9.05pt;mso-wrap-distance-right:9.05pt;mso-wrap-distance-top:0pt;mso-wrap-distance-bottom:0pt;margin-top:1.15pt;mso-position-vertical-relative:text;margin-left:187.2pt;mso-position-horizontal-relative:text">
                <v:fill opacity="0f"/>
                <v:textbox inset="0.100694444444444in,0.0506944444444444in,0.100694444444444in,0.0506944444444444in">
                  <w:txbxContent>
                    <w:p>
                      <w:pPr>
                        <w:pStyle w:val="Normal"/>
                        <w:rPr>
                          <w:sz w:val="16"/>
                        </w:rPr>
                      </w:pPr>
                      <w:r>
                        <w:rPr>
                          <w:sz w:val="16"/>
                        </w:rPr>
                        <w:t>Heat Recovery Unit Behind Oxidant Supply Skid</w:t>
                      </w:r>
                    </w:p>
                  </w:txbxContent>
                </v:textbox>
                <w10:wrap type="none"/>
              </v:rect>
            </w:pict>
          </mc:Fallback>
        </mc:AlternateContent>
      </w:r>
    </w:p>
    <w:p>
      <w:pPr>
        <w:pStyle w:val="Normal"/>
        <w:jc w:val="both"/>
        <w:rPr>
          <w:lang w:val="en-CA"/>
        </w:rPr>
      </w:pPr>
      <w:r>
        <w:rPr>
          <w:lang w:val="en-CA"/>
        </w:rPr>
        <mc:AlternateContent>
          <mc:Choice Requires="wps">
            <w:drawing>
              <wp:anchor behindDoc="0" distT="0" distB="0" distL="114935" distR="114935" simplePos="0" locked="0" layoutInCell="1" allowOverlap="1" relativeHeight="32">
                <wp:simplePos x="0" y="0"/>
                <wp:positionH relativeFrom="column">
                  <wp:posOffset>3406140</wp:posOffset>
                </wp:positionH>
                <wp:positionV relativeFrom="paragraph">
                  <wp:posOffset>18415</wp:posOffset>
                </wp:positionV>
                <wp:extent cx="220980" cy="571500"/>
                <wp:effectExtent l="8255" t="1905" r="4445" b="0"/>
                <wp:wrapNone/>
                <wp:docPr id="8" name=""/>
                <a:graphic xmlns:a="http://schemas.openxmlformats.org/drawingml/2006/main">
                  <a:graphicData uri="http://schemas.microsoft.com/office/word/2010/wordprocessingShape">
                    <wps:wsp>
                      <wps:cNvSpPr/>
                      <wps:spPr>
                        <a:xfrm flipH="1">
                          <a:off x="0" y="0"/>
                          <a:ext cx="22104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68.2pt,1.45pt" to="285.55pt,46.4pt" stroked="t" o:allowincell="f" style="position:absolute;flip:x">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8">
                <wp:simplePos x="0" y="0"/>
                <wp:positionH relativeFrom="column">
                  <wp:posOffset>457200</wp:posOffset>
                </wp:positionH>
                <wp:positionV relativeFrom="paragraph">
                  <wp:posOffset>6985</wp:posOffset>
                </wp:positionV>
                <wp:extent cx="731520" cy="563880"/>
                <wp:effectExtent l="0" t="0" r="0" b="0"/>
                <wp:wrapNone/>
                <wp:docPr id="9" name="Frame5"/>
                <a:graphic xmlns:a="http://schemas.openxmlformats.org/drawingml/2006/main">
                  <a:graphicData uri="http://schemas.microsoft.com/office/word/2010/wordprocessingShape">
                    <wps:wsp>
                      <wps:cNvSpPr txBox="1"/>
                      <wps:spPr>
                        <a:xfrm>
                          <a:off x="0" y="0"/>
                          <a:ext cx="731520" cy="563880"/>
                        </a:xfrm>
                        <a:prstGeom prst="rect"/>
                        <a:solidFill>
                          <a:srgbClr val="FFFFFF">
                            <a:alpha val="0"/>
                          </a:srgbClr>
                        </a:solidFill>
                      </wps:spPr>
                      <wps:txbx>
                        <w:txbxContent>
                          <w:p>
                            <w:pPr>
                              <w:pStyle w:val="Normal"/>
                              <w:rPr>
                                <w:sz w:val="16"/>
                              </w:rPr>
                            </w:pPr>
                            <w:r>
                              <w:rPr>
                                <w:sz w:val="16"/>
                              </w:rPr>
                              <w:t>Water Treatment and Storage</w:t>
                            </w:r>
                          </w:p>
                        </w:txbxContent>
                      </wps:txbx>
                      <wps:bodyPr anchor="t" lIns="92075" tIns="46355" rIns="92075" bIns="46355">
                        <a:noAutofit/>
                      </wps:bodyPr>
                    </wps:wsp>
                  </a:graphicData>
                </a:graphic>
              </wp:anchor>
            </w:drawing>
          </mc:Choice>
          <mc:Fallback>
            <w:pict>
              <v:rect fillcolor="#FFFFFF" style="position:absolute;rotation:-0;width:57.6pt;height:44.4pt;mso-wrap-distance-left:9.05pt;mso-wrap-distance-right:9.05pt;mso-wrap-distance-top:0pt;mso-wrap-distance-bottom:0pt;margin-top:0.55pt;mso-position-vertical-relative:text;margin-left:36pt;mso-position-horizontal-relative:text">
                <v:fill opacity="0f"/>
                <v:textbox inset="0.100694444444444in,0.0506944444444444in,0.100694444444444in,0.0506944444444444in">
                  <w:txbxContent>
                    <w:p>
                      <w:pPr>
                        <w:pStyle w:val="Normal"/>
                        <w:rPr>
                          <w:sz w:val="16"/>
                        </w:rPr>
                      </w:pPr>
                      <w:r>
                        <w:rPr>
                          <w:sz w:val="16"/>
                        </w:rPr>
                        <w:t>Water Treatment and Storage</w:t>
                      </w:r>
                    </w:p>
                  </w:txbxContent>
                </v:textbox>
                <w10:wrap type="none"/>
              </v:rect>
            </w:pict>
          </mc:Fallback>
        </mc:AlternateContent>
      </w:r>
    </w:p>
    <w:p>
      <w:pPr>
        <w:pStyle w:val="Normal"/>
        <w:jc w:val="both"/>
        <w:rPr>
          <w:lang w:val="en-CA"/>
        </w:rPr>
      </w:pPr>
      <w:r>
        <w:rPr>
          <w:lang w:val="en-CA"/>
        </w:rPr>
        <mc:AlternateContent>
          <mc:Choice Requires="wps">
            <w:drawing>
              <wp:anchor behindDoc="0" distT="0" distB="0" distL="114935" distR="114935" simplePos="0" locked="0" layoutInCell="1" allowOverlap="1" relativeHeight="29">
                <wp:simplePos x="0" y="0"/>
                <wp:positionH relativeFrom="column">
                  <wp:posOffset>2895600</wp:posOffset>
                </wp:positionH>
                <wp:positionV relativeFrom="paragraph">
                  <wp:posOffset>151765</wp:posOffset>
                </wp:positionV>
                <wp:extent cx="121920" cy="1051560"/>
                <wp:effectExtent l="5080" t="635" r="29210" b="0"/>
                <wp:wrapNone/>
                <wp:docPr id="10" name=""/>
                <a:graphic xmlns:a="http://schemas.openxmlformats.org/drawingml/2006/main">
                  <a:graphicData uri="http://schemas.microsoft.com/office/word/2010/wordprocessingShape">
                    <wps:wsp>
                      <wps:cNvSpPr/>
                      <wps:spPr>
                        <a:xfrm>
                          <a:off x="0" y="0"/>
                          <a:ext cx="122040" cy="10515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28pt,11.95pt" to="237.55pt,94.7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7">
                <wp:simplePos x="0" y="0"/>
                <wp:positionH relativeFrom="column">
                  <wp:posOffset>2004060</wp:posOffset>
                </wp:positionH>
                <wp:positionV relativeFrom="paragraph">
                  <wp:posOffset>106045</wp:posOffset>
                </wp:positionV>
                <wp:extent cx="579120" cy="259080"/>
                <wp:effectExtent l="0" t="0" r="0" b="0"/>
                <wp:wrapNone/>
                <wp:docPr id="11" name="Frame6"/>
                <a:graphic xmlns:a="http://schemas.openxmlformats.org/drawingml/2006/main">
                  <a:graphicData uri="http://schemas.microsoft.com/office/word/2010/wordprocessingShape">
                    <wps:wsp>
                      <wps:cNvSpPr txBox="1"/>
                      <wps:spPr>
                        <a:xfrm>
                          <a:off x="0" y="0"/>
                          <a:ext cx="579120" cy="259080"/>
                        </a:xfrm>
                        <a:prstGeom prst="rect"/>
                        <a:solidFill>
                          <a:srgbClr val="FFFFFF">
                            <a:alpha val="0"/>
                          </a:srgbClr>
                        </a:solidFill>
                      </wps:spPr>
                      <wps:txbx>
                        <w:txbxContent>
                          <w:p>
                            <w:pPr>
                              <w:pStyle w:val="Normal"/>
                              <w:rPr>
                                <w:sz w:val="16"/>
                              </w:rPr>
                            </w:pPr>
                            <w:r>
                              <w:rPr>
                                <w:sz w:val="16"/>
                              </w:rPr>
                              <w:t>Control</w:t>
                            </w:r>
                          </w:p>
                        </w:txbxContent>
                      </wps:txbx>
                      <wps:bodyPr anchor="t" lIns="92075" tIns="46355" rIns="92075" bIns="46355">
                        <a:noAutofit/>
                      </wps:bodyPr>
                    </wps:wsp>
                  </a:graphicData>
                </a:graphic>
              </wp:anchor>
            </w:drawing>
          </mc:Choice>
          <mc:Fallback>
            <w:pict>
              <v:rect fillcolor="#FFFFFF" style="position:absolute;rotation:-0;width:45.6pt;height:20.4pt;mso-wrap-distance-left:9.05pt;mso-wrap-distance-right:9.05pt;mso-wrap-distance-top:0pt;mso-wrap-distance-bottom:0pt;margin-top:8.35pt;mso-position-vertical-relative:text;margin-left:157.8pt;mso-position-horizontal-relative:text">
                <v:fill opacity="0f"/>
                <v:textbox inset="0.100694444444444in,0.0506944444444444in,0.100694444444444in,0.0506944444444444in">
                  <w:txbxContent>
                    <w:p>
                      <w:pPr>
                        <w:pStyle w:val="Normal"/>
                        <w:rPr>
                          <w:sz w:val="16"/>
                        </w:rPr>
                      </w:pPr>
                      <w:r>
                        <w:rPr>
                          <w:sz w:val="16"/>
                        </w:rPr>
                        <w:t>Control</w:t>
                      </w:r>
                    </w:p>
                  </w:txbxContent>
                </v:textbox>
                <w10:wrap type="none"/>
              </v:rect>
            </w:pict>
          </mc:Fallback>
        </mc:AlternateContent>
      </w:r>
    </w:p>
    <w:p>
      <w:pPr>
        <w:pStyle w:val="Normal"/>
        <w:jc w:val="both"/>
        <w:rPr>
          <w:lang w:val="en-CA"/>
        </w:rPr>
      </w:pPr>
      <w:r>
        <w:rPr>
          <w:lang w:val="en-CA"/>
        </w:rPr>
        <mc:AlternateContent>
          <mc:Choice Requires="wps">
            <w:drawing>
              <wp:anchor behindDoc="0" distT="0" distB="0" distL="114935" distR="114935" simplePos="0" locked="0" layoutInCell="1" allowOverlap="1" relativeHeight="20">
                <wp:simplePos x="0" y="0"/>
                <wp:positionH relativeFrom="column">
                  <wp:posOffset>2217420</wp:posOffset>
                </wp:positionH>
                <wp:positionV relativeFrom="paragraph">
                  <wp:posOffset>90805</wp:posOffset>
                </wp:positionV>
                <wp:extent cx="137160" cy="388620"/>
                <wp:effectExtent l="5080" t="1905" r="10795" b="0"/>
                <wp:wrapNone/>
                <wp:docPr id="12" name=""/>
                <a:graphic xmlns:a="http://schemas.openxmlformats.org/drawingml/2006/main">
                  <a:graphicData uri="http://schemas.microsoft.com/office/word/2010/wordprocessingShape">
                    <wps:wsp>
                      <wps:cNvSpPr/>
                      <wps:spPr>
                        <a:xfrm>
                          <a:off x="0" y="0"/>
                          <a:ext cx="137160" cy="388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4.6pt,7.15pt" to="185.35pt,37.7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1">
                <wp:simplePos x="0" y="0"/>
                <wp:positionH relativeFrom="column">
                  <wp:posOffset>4556760</wp:posOffset>
                </wp:positionH>
                <wp:positionV relativeFrom="paragraph">
                  <wp:posOffset>75565</wp:posOffset>
                </wp:positionV>
                <wp:extent cx="38100" cy="403860"/>
                <wp:effectExtent l="7620" t="635" r="31115" b="0"/>
                <wp:wrapNone/>
                <wp:docPr id="13" name=""/>
                <a:graphic xmlns:a="http://schemas.openxmlformats.org/drawingml/2006/main">
                  <a:graphicData uri="http://schemas.microsoft.com/office/word/2010/wordprocessingShape">
                    <wps:wsp>
                      <wps:cNvSpPr/>
                      <wps:spPr>
                        <a:xfrm>
                          <a:off x="0" y="0"/>
                          <a:ext cx="38160" cy="4039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58.8pt,5.95pt" to="361.75pt,37.7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jc w:val="both"/>
        <w:rPr>
          <w:lang w:val="en-CA"/>
        </w:rPr>
      </w:pPr>
      <w:r>
        <w:rPr>
          <w:lang w:val="en-CA"/>
        </w:rPr>
        <mc:AlternateContent>
          <mc:Choice Requires="wps">
            <w:drawing>
              <wp:anchor behindDoc="0" distT="0" distB="0" distL="114935" distR="114935" simplePos="0" locked="0" layoutInCell="1" allowOverlap="1" relativeHeight="19">
                <wp:simplePos x="0" y="0"/>
                <wp:positionH relativeFrom="column">
                  <wp:posOffset>838200</wp:posOffset>
                </wp:positionH>
                <wp:positionV relativeFrom="paragraph">
                  <wp:posOffset>75565</wp:posOffset>
                </wp:positionV>
                <wp:extent cx="60960" cy="342900"/>
                <wp:effectExtent l="5080" t="1270" r="24765" b="0"/>
                <wp:wrapNone/>
                <wp:docPr id="14" name=""/>
                <a:graphic xmlns:a="http://schemas.openxmlformats.org/drawingml/2006/main">
                  <a:graphicData uri="http://schemas.microsoft.com/office/word/2010/wordprocessingShape">
                    <wps:wsp>
                      <wps:cNvSpPr/>
                      <wps:spPr>
                        <a:xfrm>
                          <a:off x="0" y="0"/>
                          <a:ext cx="6084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6pt,5.95pt" to="70.75pt,32.9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b/>
        </w:rPr>
      </w:pPr>
      <w:r>
        <w:rPr>
          <w:b/>
        </w:rPr>
        <mc:AlternateContent>
          <mc:Choice Requires="wps">
            <w:drawing>
              <wp:anchor behindDoc="0" distT="0" distB="0" distL="114935" distR="114935" simplePos="0" locked="0" layoutInCell="1" allowOverlap="1" relativeHeight="22">
                <wp:simplePos x="0" y="0"/>
                <wp:positionH relativeFrom="column">
                  <wp:posOffset>3482340</wp:posOffset>
                </wp:positionH>
                <wp:positionV relativeFrom="paragraph">
                  <wp:posOffset>2665730</wp:posOffset>
                </wp:positionV>
                <wp:extent cx="967740" cy="975360"/>
                <wp:effectExtent l="0" t="0" r="3810" b="3810"/>
                <wp:wrapNone/>
                <wp:docPr id="15" name=""/>
                <a:graphic xmlns:a="http://schemas.openxmlformats.org/drawingml/2006/main">
                  <a:graphicData uri="http://schemas.microsoft.com/office/word/2010/wordprocessingShape">
                    <wps:wsp>
                      <wps:cNvSpPr/>
                      <wps:spPr>
                        <a:xfrm flipH="1" flipV="1">
                          <a:off x="0" y="0"/>
                          <a:ext cx="967680" cy="9752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4.2pt,209.9pt" to="350.35pt,286.65pt" stroked="t" o:allowincell="f" style="position:absolute;flip:x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3">
                <wp:simplePos x="0" y="0"/>
                <wp:positionH relativeFrom="column">
                  <wp:posOffset>4503420</wp:posOffset>
                </wp:positionH>
                <wp:positionV relativeFrom="paragraph">
                  <wp:posOffset>2406650</wp:posOffset>
                </wp:positionV>
                <wp:extent cx="640080" cy="518160"/>
                <wp:effectExtent l="0" t="0" r="3175" b="3810"/>
                <wp:wrapNone/>
                <wp:docPr id="16" name=""/>
                <a:graphic xmlns:a="http://schemas.openxmlformats.org/drawingml/2006/main">
                  <a:graphicData uri="http://schemas.microsoft.com/office/word/2010/wordprocessingShape">
                    <wps:wsp>
                      <wps:cNvSpPr/>
                      <wps:spPr>
                        <a:xfrm flipH="1" flipV="1">
                          <a:off x="0" y="0"/>
                          <a:ext cx="640080" cy="5180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54.6pt,189.5pt" to="404.95pt,230.25pt" stroked="t" o:allowincell="f" style="position:absolute;flip:xy">
                <v:stroke color="black" weight="9360" endarrow="block" endarrowwidth="medium" endarrowlength="medium" joinstyle="miter" endcap="flat"/>
                <v:fill o:detectmouseclick="t" on="false"/>
                <w10:wrap type="none"/>
              </v:line>
            </w:pict>
          </mc:Fallback>
        </mc:AlternateContent>
        <w:t>Figure 1</w:t>
      </w:r>
      <w:r>
        <mc:AlternateContent>
          <mc:Choice Requires="wps">
            <w:drawing>
              <wp:anchor behindDoc="0" distT="0" distB="0" distL="114935" distR="114935" simplePos="0" locked="0" layoutInCell="1" allowOverlap="1" relativeHeight="24">
                <wp:simplePos x="0" y="0"/>
                <wp:positionH relativeFrom="column">
                  <wp:posOffset>5067300</wp:posOffset>
                </wp:positionH>
                <wp:positionV relativeFrom="paragraph">
                  <wp:posOffset>2879090</wp:posOffset>
                </wp:positionV>
                <wp:extent cx="579120" cy="449580"/>
                <wp:effectExtent l="0" t="0" r="0" b="0"/>
                <wp:wrapNone/>
                <wp:docPr id="17" name="Frame8"/>
                <a:graphic xmlns:a="http://schemas.openxmlformats.org/drawingml/2006/main">
                  <a:graphicData uri="http://schemas.microsoft.com/office/word/2010/wordprocessingShape">
                    <wps:wsp>
                      <wps:cNvSpPr txBox="1"/>
                      <wps:spPr>
                        <a:xfrm>
                          <a:off x="0" y="0"/>
                          <a:ext cx="579120" cy="449580"/>
                        </a:xfrm>
                        <a:prstGeom prst="rect"/>
                        <a:solidFill>
                          <a:srgbClr val="FFFFFF">
                            <a:alpha val="0"/>
                          </a:srgbClr>
                        </a:solidFill>
                      </wps:spPr>
                      <wps:txbx>
                        <w:txbxContent>
                          <w:p>
                            <w:pPr>
                              <w:pStyle w:val="Normal"/>
                              <w:rPr>
                                <w:sz w:val="16"/>
                              </w:rPr>
                            </w:pPr>
                            <w:r>
                              <w:rPr>
                                <w:sz w:val="16"/>
                              </w:rPr>
                              <w:t>4-stack module</w:t>
                            </w:r>
                          </w:p>
                        </w:txbxContent>
                      </wps:txbx>
                      <wps:bodyPr anchor="t" lIns="92075" tIns="46355" rIns="92075" bIns="46355">
                        <a:noAutofit/>
                      </wps:bodyPr>
                    </wps:wsp>
                  </a:graphicData>
                </a:graphic>
              </wp:anchor>
            </w:drawing>
          </mc:Choice>
          <mc:Fallback>
            <w:pict>
              <v:rect fillcolor="#FFFFFF" style="position:absolute;rotation:-0;width:45.6pt;height:35.4pt;mso-wrap-distance-left:9.05pt;mso-wrap-distance-right:9.05pt;mso-wrap-distance-top:0pt;mso-wrap-distance-bottom:0pt;margin-top:226.7pt;mso-position-vertical-relative:text;margin-left:399pt;mso-position-horizontal-relative:text">
                <v:fill opacity="0f"/>
                <v:textbox inset="0.100694444444444in,0.0506944444444444in,0.100694444444444in,0.0506944444444444in">
                  <w:txbxContent>
                    <w:p>
                      <w:pPr>
                        <w:pStyle w:val="Normal"/>
                        <w:rPr>
                          <w:sz w:val="16"/>
                        </w:rPr>
                      </w:pPr>
                      <w:r>
                        <w:rPr>
                          <w:sz w:val="16"/>
                        </w:rPr>
                        <w:t>4-stack module</w:t>
                      </w:r>
                    </w:p>
                  </w:txbxContent>
                </v:textbox>
                <w10:wrap type="none"/>
              </v:rect>
            </w:pict>
          </mc:Fallback>
        </mc:AlternateContent>
      </w:r>
      <w:r>
        <mc:AlternateContent>
          <mc:Choice Requires="wps">
            <w:drawing>
              <wp:anchor behindDoc="0" distT="0" distB="0" distL="114935" distR="114935" simplePos="0" locked="0" layoutInCell="1" allowOverlap="1" relativeHeight="25">
                <wp:simplePos x="0" y="0"/>
                <wp:positionH relativeFrom="column">
                  <wp:posOffset>4389120</wp:posOffset>
                </wp:positionH>
                <wp:positionV relativeFrom="paragraph">
                  <wp:posOffset>3580130</wp:posOffset>
                </wp:positionV>
                <wp:extent cx="579120" cy="449580"/>
                <wp:effectExtent l="0" t="0" r="0" b="0"/>
                <wp:wrapNone/>
                <wp:docPr id="18" name="Frame7"/>
                <a:graphic xmlns:a="http://schemas.openxmlformats.org/drawingml/2006/main">
                  <a:graphicData uri="http://schemas.microsoft.com/office/word/2010/wordprocessingShape">
                    <wps:wsp>
                      <wps:cNvSpPr txBox="1"/>
                      <wps:spPr>
                        <a:xfrm>
                          <a:off x="0" y="0"/>
                          <a:ext cx="579120" cy="449580"/>
                        </a:xfrm>
                        <a:prstGeom prst="rect"/>
                        <a:solidFill>
                          <a:srgbClr val="FFFFFF">
                            <a:alpha val="0"/>
                          </a:srgbClr>
                        </a:solidFill>
                      </wps:spPr>
                      <wps:txbx>
                        <w:txbxContent>
                          <w:p>
                            <w:pPr>
                              <w:pStyle w:val="Normal"/>
                              <w:rPr>
                                <w:sz w:val="16"/>
                              </w:rPr>
                            </w:pPr>
                            <w:r>
                              <w:rPr>
                                <w:sz w:val="16"/>
                              </w:rPr>
                              <w:t>Oxidant Supply Skid</w:t>
                            </w:r>
                          </w:p>
                        </w:txbxContent>
                      </wps:txbx>
                      <wps:bodyPr anchor="t" lIns="92075" tIns="46355" rIns="92075" bIns="46355">
                        <a:noAutofit/>
                      </wps:bodyPr>
                    </wps:wsp>
                  </a:graphicData>
                </a:graphic>
              </wp:anchor>
            </w:drawing>
          </mc:Choice>
          <mc:Fallback>
            <w:pict>
              <v:rect fillcolor="#FFFFFF" style="position:absolute;rotation:-0;width:45.6pt;height:35.4pt;mso-wrap-distance-left:9.05pt;mso-wrap-distance-right:9.05pt;mso-wrap-distance-top:0pt;mso-wrap-distance-bottom:0pt;margin-top:281.9pt;mso-position-vertical-relative:text;margin-left:345.6pt;mso-position-horizontal-relative:text">
                <v:fill opacity="0f"/>
                <v:textbox inset="0.100694444444444in,0.0506944444444444in,0.100694444444444in,0.0506944444444444in">
                  <w:txbxContent>
                    <w:p>
                      <w:pPr>
                        <w:pStyle w:val="Normal"/>
                        <w:rPr>
                          <w:sz w:val="16"/>
                        </w:rPr>
                      </w:pPr>
                      <w:r>
                        <w:rPr>
                          <w:sz w:val="16"/>
                        </w:rPr>
                        <w:t>Oxidant Supply Skid</w:t>
                      </w:r>
                    </w:p>
                  </w:txbxContent>
                </v:textbox>
                <w10:wrap type="none"/>
              </v:rect>
            </w:pict>
          </mc:Fallback>
        </mc:AlternateContent>
      </w:r>
    </w:p>
    <w:p>
      <w:pPr>
        <w:pStyle w:val="Normal"/>
        <w:jc w:val="center"/>
        <w:rPr>
          <w:b/>
        </w:rPr>
      </w:pPr>
      <w:r>
        <w:rPr>
          <w:b/>
        </w:rPr>
        <w:t>DFC® Powerplant</w:t>
      </w:r>
    </w:p>
    <w:p>
      <w:pPr>
        <w:pStyle w:val="BodyText"/>
        <w:rPr>
          <w:b/>
        </w:rPr>
      </w:pPr>
      <w:r>
        <w:rPr>
          <w:b/>
        </w:rPr>
      </w:r>
    </w:p>
    <w:p>
      <w:pPr>
        <w:pStyle w:val="BodyText"/>
        <w:rPr/>
      </w:pPr>
      <w:r>
        <w:rPr/>
      </w:r>
    </w:p>
    <w:p>
      <w:pPr>
        <w:pStyle w:val="BodyText"/>
        <w:rPr/>
      </w:pPr>
      <w:r>
        <w:rPr/>
      </w:r>
    </w:p>
    <w:p>
      <w:pPr>
        <w:pStyle w:val="BodyText"/>
        <w:rPr/>
      </w:pPr>
      <w:r>
        <w:rPr/>
      </w:r>
    </w:p>
    <w:p>
      <w:pPr>
        <w:pStyle w:val="BodyText"/>
        <w:rPr/>
      </w:pPr>
      <w:r>
        <w:rPr/>
        <w:t xml:space="preserve">As shown in Figure 1, the powerplant is configured into a few skids which contain logically grouped subsystems.  The arrangement shown in Figure 1 represents the design developed in detailed design studies which have proceeded just short of equipment procurement.  Design refinement due to vendor feedback during the procurement phase may lead to some adjustment of the arrangement as the design is optimized.  </w:t>
      </w:r>
    </w:p>
    <w:p>
      <w:pPr>
        <w:pStyle w:val="BodyText"/>
        <w:rPr/>
      </w:pPr>
      <w:r>
        <w:rPr/>
      </w:r>
    </w:p>
    <w:p>
      <w:pPr>
        <w:pStyle w:val="BodyText"/>
        <w:rPr/>
      </w:pPr>
      <w:r>
        <w:rPr/>
        <w:t xml:space="preserve">The DC Power section is comprised of two fuel cell modules, each of which contains four DFC® stacks, and the associated piping and instrumentation to deliver gases to the stacks.  The modules are cylindrical, truck-transportable units which are internally insulated to maintain the outer skin of the container near ambient temperature.  The modules are fed with a hot fuel/steam mixture from the HRU skid, and with heated air  from the oxidant supply skid.  These inputs are used to produce DC power, and two exhaust streams (fuel and air) which are used for reactant preheat. </w:t>
      </w:r>
    </w:p>
    <w:p>
      <w:pPr>
        <w:pStyle w:val="BodyText"/>
        <w:rPr/>
      </w:pPr>
      <w:r>
        <w:rPr/>
      </w:r>
    </w:p>
    <w:p>
      <w:pPr>
        <w:pStyle w:val="BodyText"/>
        <w:rPr/>
      </w:pPr>
      <w:r>
        <w:rPr/>
        <w:t>The Power Conversion Skid contains the inverter system, which converts the stack DC to AC power, and transformers which step the AC up to 480Volts. The Control System skid contains the plant control hardware, the local user interface panel. and any equipment needed for interfacing with a broader facility supervisory control system.</w:t>
      </w:r>
    </w:p>
    <w:p>
      <w:pPr>
        <w:pStyle w:val="BodyText"/>
        <w:rPr>
          <w:rFonts w:eastAsia="Arial"/>
        </w:rPr>
      </w:pPr>
      <w:r>
        <w:rPr>
          <w:rFonts w:eastAsia="Arial"/>
        </w:rPr>
        <w:t xml:space="preserve"> </w:t>
      </w:r>
    </w:p>
    <w:p>
      <w:pPr>
        <w:pStyle w:val="BodyText"/>
        <w:rPr/>
      </w:pPr>
      <w:r>
        <w:rPr/>
        <w:t xml:space="preserve">The Heat Recovery Unit Skid takes treated cold water and fuel and produces a fuel/steam mixture at the appropriate temperature (~1000 </w:t>
      </w:r>
      <w:r>
        <w:rPr>
          <w:vertAlign w:val="superscript"/>
        </w:rPr>
        <w:t>o</w:t>
      </w:r>
      <w:r>
        <w:rPr/>
        <w:t>F) for delivery to the fuel cell stacks. This skid also contains the fuel cleanup system, and any other fuel treatment reactors which may be needed (eg deoxidation reactors for peak shaving natural gas).  It also contains several cylinders of nitrogen, which is used during plant start, shutdown, and maintenance.</w:t>
      </w:r>
    </w:p>
    <w:p>
      <w:pPr>
        <w:pStyle w:val="BodyText"/>
        <w:rPr/>
      </w:pPr>
      <w:r>
        <w:rPr/>
      </w:r>
    </w:p>
    <w:p>
      <w:pPr>
        <w:pStyle w:val="BodyText"/>
        <w:rPr/>
      </w:pPr>
      <w:r>
        <w:rPr/>
        <w:t>The Oxidant Supply Skid consists of a packaged catalytic reactor and cold air supply blower (and associated local controls, etc).  It is fed with the spent fuel exhaust from the fuel cell modules.  The residual fuel in this exhaust (typically 20 to 30 percent of the fuel input) is used in the catalytic reactor to heat the cold air up to the desired temperature for delivery to the fuel cell modules.  Cold air is mixed with residual fuel, sent through the catalyst, and the flue gas from the catalyst is sent to the fuel cell modules as the oxidant inlet stream.</w:t>
      </w:r>
    </w:p>
    <w:p>
      <w:pPr>
        <w:pStyle w:val="BodyText"/>
        <w:rPr/>
      </w:pPr>
      <w:r>
        <w:rPr/>
      </w:r>
    </w:p>
    <w:p>
      <w:pPr>
        <w:pStyle w:val="BodyText"/>
        <w:rPr/>
      </w:pPr>
      <w:r>
        <w:rPr/>
        <w:t>The Water Treatment and Storage Skid treats supplied water to provide a quality suitable for use in the steam generator.  The skid includes a storage tank which holds a 12 hour supply of treated water.  An instrument air compressor is also packaged on the water treatment skid.</w:t>
      </w:r>
    </w:p>
    <w:p>
      <w:pPr>
        <w:pStyle w:val="BodyText"/>
        <w:rPr/>
      </w:pPr>
      <w:r>
        <w:rPr/>
      </w:r>
    </w:p>
    <w:p>
      <w:pPr>
        <w:pStyle w:val="Normal"/>
        <w:jc w:val="both"/>
        <w:rPr/>
      </w:pPr>
      <w:r>
        <w:rPr/>
        <w:t xml:space="preserve">The powerplant's operating characteristics and performance presented in this document reflect both current and advanced fuel cell technology that FCE expects to achieve into the near future (through 2005).  The operating characteristics listed here are expected values. Guaranteed values for certain performance parameters are identified specifically in the contract. </w:t>
      </w:r>
    </w:p>
    <w:p>
      <w:pPr>
        <w:pStyle w:val="Normal"/>
        <w:jc w:val="both"/>
        <w:rPr/>
      </w:pPr>
      <w:r>
        <w:rPr/>
      </w:r>
    </w:p>
    <w:p>
      <w:pPr>
        <w:pStyle w:val="Normal"/>
        <w:jc w:val="both"/>
        <w:rPr>
          <w:b/>
        </w:rPr>
      </w:pPr>
      <w:r>
        <w:rPr>
          <w:b/>
        </w:rPr>
        <w:t>2.0</w:t>
        <w:tab/>
        <w:t>PLANT PERFORMANCE AND OPERABILITY CHARACTERISTICS</w:t>
      </w:r>
    </w:p>
    <w:p>
      <w:pPr>
        <w:pStyle w:val="Normal"/>
        <w:jc w:val="both"/>
        <w:rPr>
          <w:b/>
        </w:rPr>
      </w:pPr>
      <w:r>
        <w:rPr>
          <w:b/>
        </w:rPr>
      </w:r>
    </w:p>
    <w:p>
      <w:pPr>
        <w:pStyle w:val="Normal"/>
        <w:numPr>
          <w:ilvl w:val="1"/>
          <w:numId w:val="3"/>
        </w:numPr>
        <w:jc w:val="both"/>
        <w:rPr>
          <w:b/>
        </w:rPr>
      </w:pPr>
      <w:r>
        <w:rPr>
          <w:rFonts w:eastAsia="Arial"/>
          <w:b/>
        </w:rPr>
        <w:t xml:space="preserve"> </w:t>
      </w:r>
      <w:r>
        <w:rPr>
          <w:b/>
        </w:rPr>
        <w:t>Overall Design Specifications:</w:t>
      </w:r>
    </w:p>
    <w:p>
      <w:pPr>
        <w:pStyle w:val="Normal"/>
        <w:jc w:val="both"/>
        <w:rPr/>
      </w:pPr>
      <w:r>
        <w:rPr/>
        <w:t>The following target specifications have been established for the 2MW and 2.4MW:</w:t>
      </w:r>
    </w:p>
    <w:p>
      <w:pPr>
        <w:pStyle w:val="Normal"/>
        <w:jc w:val="both"/>
        <w:rPr/>
      </w:pPr>
      <w:r>
        <w:rPr/>
      </w:r>
    </w:p>
    <w:p>
      <w:pPr>
        <w:pStyle w:val="Heading3"/>
        <w:ind w:hanging="0" w:start="0"/>
        <w:rPr/>
      </w:pPr>
      <w:r>
        <w:rPr/>
        <w:t>Table 1, Plant Specifications</w:t>
      </w:r>
    </w:p>
    <w:p>
      <w:pPr>
        <w:pStyle w:val="Normal"/>
        <w:rPr>
          <w:sz w:val="16"/>
        </w:rPr>
      </w:pPr>
      <w:r>
        <w:rPr>
          <w:sz w:val="16"/>
        </w:rPr>
      </w:r>
    </w:p>
    <w:tbl>
      <w:tblPr>
        <w:tblW w:w="9720" w:type="dxa"/>
        <w:jc w:val="start"/>
        <w:tblInd w:w="162" w:type="dxa"/>
        <w:tblLayout w:type="fixed"/>
        <w:tblCellMar>
          <w:top w:w="0" w:type="dxa"/>
          <w:start w:w="72" w:type="dxa"/>
          <w:bottom w:w="0" w:type="dxa"/>
          <w:end w:w="72" w:type="dxa"/>
        </w:tblCellMar>
      </w:tblPr>
      <w:tblGrid>
        <w:gridCol w:w="3510"/>
        <w:gridCol w:w="1170"/>
        <w:gridCol w:w="1890"/>
        <w:gridCol w:w="1170"/>
        <w:gridCol w:w="1980"/>
      </w:tblGrid>
      <w:tr>
        <w:trPr>
          <w:trHeight w:val="240" w:hRule="atLeast"/>
        </w:trPr>
        <w:tc>
          <w:tcPr>
            <w:tcW w:w="3510" w:type="dxa"/>
            <w:tcBorders>
              <w:top w:val="single" w:sz="4" w:space="0" w:color="000000"/>
              <w:start w:val="single" w:sz="4" w:space="0" w:color="000000"/>
            </w:tcBorders>
          </w:tcPr>
          <w:p>
            <w:pPr>
              <w:pStyle w:val="Normal"/>
              <w:snapToGrid w:val="false"/>
              <w:rPr>
                <w:b/>
                <w:color w:val="000000"/>
                <w:sz w:val="20"/>
              </w:rPr>
            </w:pPr>
            <w:r>
              <w:rPr>
                <w:b/>
                <w:color w:val="000000"/>
                <w:sz w:val="20"/>
              </w:rPr>
            </w:r>
          </w:p>
        </w:tc>
        <w:tc>
          <w:tcPr>
            <w:tcW w:w="3060" w:type="dxa"/>
            <w:gridSpan w:val="2"/>
            <w:tcBorders>
              <w:top w:val="single" w:sz="4" w:space="0" w:color="000000"/>
              <w:start w:val="single" w:sz="4" w:space="0" w:color="000000"/>
              <w:end w:val="single" w:sz="4" w:space="0" w:color="000000"/>
            </w:tcBorders>
          </w:tcPr>
          <w:p>
            <w:pPr>
              <w:pStyle w:val="Normal"/>
              <w:jc w:val="center"/>
              <w:rPr>
                <w:color w:val="000000"/>
                <w:sz w:val="20"/>
              </w:rPr>
            </w:pPr>
            <w:r>
              <w:rPr>
                <w:color w:val="000000"/>
                <w:sz w:val="20"/>
              </w:rPr>
              <w:t>Initial 7 units,</w:t>
            </w:r>
          </w:p>
          <w:p>
            <w:pPr>
              <w:pStyle w:val="Normal"/>
              <w:jc w:val="center"/>
              <w:rPr>
                <w:color w:val="000000"/>
                <w:sz w:val="20"/>
              </w:rPr>
            </w:pPr>
            <w:r>
              <w:rPr>
                <w:color w:val="000000"/>
                <w:sz w:val="20"/>
              </w:rPr>
              <w:t>2MW Maximum Unit Rating</w:t>
            </w:r>
          </w:p>
        </w:tc>
        <w:tc>
          <w:tcPr>
            <w:tcW w:w="3150" w:type="dxa"/>
            <w:gridSpan w:val="2"/>
            <w:tcBorders>
              <w:top w:val="single" w:sz="4" w:space="0" w:color="000000"/>
              <w:end w:val="single" w:sz="4" w:space="0" w:color="000000"/>
            </w:tcBorders>
          </w:tcPr>
          <w:p>
            <w:pPr>
              <w:pStyle w:val="Normal"/>
              <w:jc w:val="center"/>
              <w:rPr>
                <w:color w:val="000000"/>
                <w:sz w:val="20"/>
              </w:rPr>
            </w:pPr>
            <w:r>
              <w:rPr>
                <w:color w:val="000000"/>
                <w:sz w:val="20"/>
              </w:rPr>
              <w:t>Subsequent Units</w:t>
            </w:r>
          </w:p>
          <w:p>
            <w:pPr>
              <w:pStyle w:val="Normal"/>
              <w:jc w:val="center"/>
              <w:rPr>
                <w:color w:val="000000"/>
                <w:sz w:val="20"/>
              </w:rPr>
            </w:pPr>
            <w:r>
              <w:rPr>
                <w:color w:val="000000"/>
                <w:sz w:val="20"/>
              </w:rPr>
              <w:t>2.4MW Maximum Unit Rating</w:t>
            </w:r>
          </w:p>
        </w:tc>
      </w:tr>
      <w:tr>
        <w:trPr>
          <w:trHeight w:val="240" w:hRule="atLeast"/>
        </w:trPr>
        <w:tc>
          <w:tcPr>
            <w:tcW w:w="3510" w:type="dxa"/>
            <w:tcBorders>
              <w:start w:val="single" w:sz="4" w:space="0" w:color="000000"/>
            </w:tcBorders>
          </w:tcPr>
          <w:p>
            <w:pPr>
              <w:pStyle w:val="Heading1"/>
              <w:ind w:hanging="0" w:start="0"/>
              <w:rPr>
                <w:sz w:val="20"/>
              </w:rPr>
            </w:pPr>
            <w:r>
              <w:rPr>
                <w:sz w:val="20"/>
              </w:rPr>
              <w:t>Plot Area</w:t>
            </w:r>
          </w:p>
        </w:tc>
        <w:tc>
          <w:tcPr>
            <w:tcW w:w="1170" w:type="dxa"/>
            <w:tcBorders>
              <w:start w:val="single" w:sz="4" w:space="0" w:color="000000"/>
            </w:tcBorders>
          </w:tcPr>
          <w:p>
            <w:pPr>
              <w:pStyle w:val="Normal"/>
              <w:snapToGrid w:val="false"/>
              <w:rPr>
                <w:color w:val="000000"/>
                <w:sz w:val="20"/>
              </w:rPr>
            </w:pPr>
            <w:r>
              <w:rPr>
                <w:color w:val="000000"/>
                <w:sz w:val="20"/>
              </w:rPr>
            </w:r>
          </w:p>
        </w:tc>
        <w:tc>
          <w:tcPr>
            <w:tcW w:w="1890" w:type="dxa"/>
            <w:tcBorders>
              <w:end w:val="single" w:sz="4" w:space="0" w:color="000000"/>
            </w:tcBorders>
          </w:tcPr>
          <w:p>
            <w:pPr>
              <w:pStyle w:val="Normal"/>
              <w:snapToGrid w:val="false"/>
              <w:rPr>
                <w:color w:val="000000"/>
                <w:sz w:val="20"/>
              </w:rPr>
            </w:pPr>
            <w:r>
              <w:rPr>
                <w:color w:val="000000"/>
                <w:sz w:val="20"/>
              </w:rPr>
            </w:r>
          </w:p>
        </w:tc>
        <w:tc>
          <w:tcPr>
            <w:tcW w:w="1170" w:type="dxa"/>
            <w:tcBorders/>
          </w:tcPr>
          <w:p>
            <w:pPr>
              <w:pStyle w:val="Normal"/>
              <w:snapToGrid w:val="false"/>
              <w:rPr>
                <w:color w:val="000000"/>
                <w:sz w:val="20"/>
              </w:rPr>
            </w:pPr>
            <w:r>
              <w:rPr>
                <w:color w:val="000000"/>
                <w:sz w:val="20"/>
              </w:rPr>
            </w:r>
          </w:p>
        </w:tc>
        <w:tc>
          <w:tcPr>
            <w:tcW w:w="1980" w:type="dxa"/>
            <w:tcBorders>
              <w:end w:val="single" w:sz="4" w:space="0" w:color="000000"/>
            </w:tcBorders>
          </w:tcPr>
          <w:p>
            <w:pPr>
              <w:pStyle w:val="Normal"/>
              <w:snapToGrid w:val="false"/>
              <w:rPr>
                <w:color w:val="000000"/>
                <w:sz w:val="20"/>
              </w:rPr>
            </w:pPr>
            <w:r>
              <w:rPr>
                <w:color w:val="000000"/>
                <w:sz w:val="20"/>
              </w:rPr>
            </w:r>
          </w:p>
        </w:tc>
      </w:tr>
      <w:tr>
        <w:trPr>
          <w:trHeight w:val="240" w:hRule="atLeast"/>
        </w:trPr>
        <w:tc>
          <w:tcPr>
            <w:tcW w:w="3510" w:type="dxa"/>
            <w:tcBorders>
              <w:start w:val="single" w:sz="4" w:space="0" w:color="000000"/>
            </w:tcBorders>
          </w:tcPr>
          <w:p>
            <w:pPr>
              <w:pStyle w:val="Normal"/>
              <w:rPr>
                <w:color w:val="000000"/>
                <w:sz w:val="20"/>
              </w:rPr>
            </w:pPr>
            <w:r>
              <w:rPr>
                <w:rFonts w:eastAsia="Arial"/>
                <w:color w:val="000000"/>
                <w:sz w:val="20"/>
              </w:rPr>
              <w:t xml:space="preserve">  </w:t>
            </w:r>
            <w:r>
              <w:rPr>
                <w:color w:val="000000"/>
                <w:sz w:val="20"/>
              </w:rPr>
              <w:t>Height</w:t>
            </w:r>
          </w:p>
        </w:tc>
        <w:tc>
          <w:tcPr>
            <w:tcW w:w="1170" w:type="dxa"/>
            <w:tcBorders>
              <w:start w:val="single" w:sz="4" w:space="0" w:color="000000"/>
            </w:tcBorders>
          </w:tcPr>
          <w:p>
            <w:pPr>
              <w:pStyle w:val="Normal"/>
              <w:jc w:val="end"/>
              <w:rPr>
                <w:color w:val="000000"/>
                <w:sz w:val="20"/>
              </w:rPr>
            </w:pPr>
            <w:r>
              <w:rPr>
                <w:color w:val="000000"/>
                <w:sz w:val="20"/>
              </w:rPr>
              <w:t xml:space="preserve">25 </w:t>
            </w:r>
          </w:p>
        </w:tc>
        <w:tc>
          <w:tcPr>
            <w:tcW w:w="1890" w:type="dxa"/>
            <w:tcBorders>
              <w:end w:val="single" w:sz="4" w:space="0" w:color="000000"/>
            </w:tcBorders>
          </w:tcPr>
          <w:p>
            <w:pPr>
              <w:pStyle w:val="Normal"/>
              <w:rPr>
                <w:color w:val="000000"/>
                <w:sz w:val="20"/>
              </w:rPr>
            </w:pPr>
            <w:r>
              <w:rPr>
                <w:color w:val="000000"/>
                <w:sz w:val="20"/>
              </w:rPr>
              <w:t>feet</w:t>
            </w:r>
          </w:p>
        </w:tc>
        <w:tc>
          <w:tcPr>
            <w:tcW w:w="1170" w:type="dxa"/>
            <w:tcBorders/>
          </w:tcPr>
          <w:p>
            <w:pPr>
              <w:pStyle w:val="Normal"/>
              <w:jc w:val="end"/>
              <w:rPr>
                <w:color w:val="000000"/>
                <w:sz w:val="20"/>
              </w:rPr>
            </w:pPr>
            <w:r>
              <w:rPr>
                <w:color w:val="000000"/>
                <w:sz w:val="20"/>
              </w:rPr>
              <w:t>25</w:t>
            </w:r>
          </w:p>
        </w:tc>
        <w:tc>
          <w:tcPr>
            <w:tcW w:w="1980" w:type="dxa"/>
            <w:tcBorders>
              <w:end w:val="single" w:sz="4" w:space="0" w:color="000000"/>
            </w:tcBorders>
          </w:tcPr>
          <w:p>
            <w:pPr>
              <w:pStyle w:val="Normal"/>
              <w:rPr>
                <w:color w:val="000000"/>
                <w:sz w:val="20"/>
              </w:rPr>
            </w:pPr>
            <w:r>
              <w:rPr>
                <w:color w:val="000000"/>
                <w:sz w:val="20"/>
              </w:rPr>
              <w:t>feet</w:t>
            </w:r>
          </w:p>
        </w:tc>
      </w:tr>
      <w:tr>
        <w:trPr>
          <w:trHeight w:val="240" w:hRule="atLeast"/>
        </w:trPr>
        <w:tc>
          <w:tcPr>
            <w:tcW w:w="3510" w:type="dxa"/>
            <w:tcBorders>
              <w:start w:val="single" w:sz="4" w:space="0" w:color="000000"/>
            </w:tcBorders>
          </w:tcPr>
          <w:p>
            <w:pPr>
              <w:pStyle w:val="Normal"/>
              <w:rPr>
                <w:color w:val="000000"/>
                <w:sz w:val="20"/>
              </w:rPr>
            </w:pPr>
            <w:r>
              <w:rPr>
                <w:rFonts w:eastAsia="Arial"/>
                <w:color w:val="000000"/>
                <w:sz w:val="20"/>
              </w:rPr>
              <w:t xml:space="preserve">  </w:t>
            </w:r>
            <w:r>
              <w:rPr>
                <w:color w:val="000000"/>
                <w:sz w:val="20"/>
              </w:rPr>
              <w:t>Width</w:t>
            </w:r>
          </w:p>
        </w:tc>
        <w:tc>
          <w:tcPr>
            <w:tcW w:w="1170" w:type="dxa"/>
            <w:tcBorders>
              <w:start w:val="single" w:sz="4" w:space="0" w:color="000000"/>
            </w:tcBorders>
          </w:tcPr>
          <w:p>
            <w:pPr>
              <w:pStyle w:val="Normal"/>
              <w:jc w:val="end"/>
              <w:rPr>
                <w:color w:val="000000"/>
                <w:sz w:val="20"/>
              </w:rPr>
            </w:pPr>
            <w:r>
              <w:rPr>
                <w:color w:val="000000"/>
                <w:sz w:val="20"/>
              </w:rPr>
              <w:t xml:space="preserve">54 </w:t>
            </w:r>
          </w:p>
        </w:tc>
        <w:tc>
          <w:tcPr>
            <w:tcW w:w="1890" w:type="dxa"/>
            <w:tcBorders>
              <w:end w:val="single" w:sz="4" w:space="0" w:color="000000"/>
            </w:tcBorders>
          </w:tcPr>
          <w:p>
            <w:pPr>
              <w:pStyle w:val="Normal"/>
              <w:rPr>
                <w:color w:val="000000"/>
                <w:sz w:val="20"/>
              </w:rPr>
            </w:pPr>
            <w:r>
              <w:rPr>
                <w:color w:val="000000"/>
                <w:sz w:val="20"/>
              </w:rPr>
              <w:t>feet</w:t>
            </w:r>
          </w:p>
        </w:tc>
        <w:tc>
          <w:tcPr>
            <w:tcW w:w="1170" w:type="dxa"/>
            <w:tcBorders/>
          </w:tcPr>
          <w:p>
            <w:pPr>
              <w:pStyle w:val="Normal"/>
              <w:jc w:val="end"/>
              <w:rPr>
                <w:color w:val="000000"/>
                <w:sz w:val="20"/>
              </w:rPr>
            </w:pPr>
            <w:r>
              <w:rPr>
                <w:color w:val="000000"/>
                <w:sz w:val="20"/>
              </w:rPr>
              <w:t>54</w:t>
            </w:r>
          </w:p>
        </w:tc>
        <w:tc>
          <w:tcPr>
            <w:tcW w:w="1980" w:type="dxa"/>
            <w:tcBorders>
              <w:end w:val="single" w:sz="4" w:space="0" w:color="000000"/>
            </w:tcBorders>
          </w:tcPr>
          <w:p>
            <w:pPr>
              <w:pStyle w:val="Normal"/>
              <w:rPr>
                <w:color w:val="000000"/>
                <w:sz w:val="20"/>
              </w:rPr>
            </w:pPr>
            <w:r>
              <w:rPr>
                <w:color w:val="000000"/>
                <w:sz w:val="20"/>
              </w:rPr>
              <w:t>feet</w:t>
            </w:r>
          </w:p>
        </w:tc>
      </w:tr>
      <w:tr>
        <w:trPr>
          <w:trHeight w:val="240" w:hRule="atLeast"/>
        </w:trPr>
        <w:tc>
          <w:tcPr>
            <w:tcW w:w="3510" w:type="dxa"/>
            <w:tcBorders>
              <w:start w:val="single" w:sz="4" w:space="0" w:color="000000"/>
            </w:tcBorders>
          </w:tcPr>
          <w:p>
            <w:pPr>
              <w:pStyle w:val="Normal"/>
              <w:rPr>
                <w:color w:val="000000"/>
                <w:sz w:val="20"/>
              </w:rPr>
            </w:pPr>
            <w:r>
              <w:rPr>
                <w:rFonts w:eastAsia="Arial"/>
                <w:color w:val="000000"/>
                <w:sz w:val="20"/>
              </w:rPr>
              <w:t xml:space="preserve">  </w:t>
            </w:r>
            <w:r>
              <w:rPr>
                <w:color w:val="000000"/>
                <w:sz w:val="20"/>
              </w:rPr>
              <w:t>Length</w:t>
            </w:r>
          </w:p>
        </w:tc>
        <w:tc>
          <w:tcPr>
            <w:tcW w:w="1170" w:type="dxa"/>
            <w:tcBorders>
              <w:start w:val="single" w:sz="4" w:space="0" w:color="000000"/>
            </w:tcBorders>
          </w:tcPr>
          <w:p>
            <w:pPr>
              <w:pStyle w:val="Normal"/>
              <w:jc w:val="end"/>
              <w:rPr>
                <w:color w:val="000000"/>
                <w:sz w:val="20"/>
              </w:rPr>
            </w:pPr>
            <w:r>
              <w:rPr>
                <w:color w:val="000000"/>
                <w:sz w:val="20"/>
              </w:rPr>
              <w:t xml:space="preserve">83 </w:t>
            </w:r>
          </w:p>
        </w:tc>
        <w:tc>
          <w:tcPr>
            <w:tcW w:w="1890" w:type="dxa"/>
            <w:tcBorders>
              <w:end w:val="single" w:sz="4" w:space="0" w:color="000000"/>
            </w:tcBorders>
          </w:tcPr>
          <w:p>
            <w:pPr>
              <w:pStyle w:val="Normal"/>
              <w:rPr>
                <w:color w:val="000000"/>
                <w:sz w:val="20"/>
              </w:rPr>
            </w:pPr>
            <w:r>
              <w:rPr>
                <w:color w:val="000000"/>
                <w:sz w:val="20"/>
              </w:rPr>
              <w:t>feet</w:t>
            </w:r>
          </w:p>
        </w:tc>
        <w:tc>
          <w:tcPr>
            <w:tcW w:w="1170" w:type="dxa"/>
            <w:tcBorders/>
          </w:tcPr>
          <w:p>
            <w:pPr>
              <w:pStyle w:val="Normal"/>
              <w:jc w:val="end"/>
              <w:rPr>
                <w:color w:val="000000"/>
                <w:sz w:val="20"/>
              </w:rPr>
            </w:pPr>
            <w:r>
              <w:rPr>
                <w:color w:val="000000"/>
                <w:sz w:val="20"/>
              </w:rPr>
              <w:t>83</w:t>
            </w:r>
          </w:p>
        </w:tc>
        <w:tc>
          <w:tcPr>
            <w:tcW w:w="1980" w:type="dxa"/>
            <w:tcBorders>
              <w:end w:val="single" w:sz="4" w:space="0" w:color="000000"/>
            </w:tcBorders>
          </w:tcPr>
          <w:p>
            <w:pPr>
              <w:pStyle w:val="Normal"/>
              <w:rPr>
                <w:color w:val="000000"/>
                <w:sz w:val="20"/>
              </w:rPr>
            </w:pPr>
            <w:r>
              <w:rPr>
                <w:color w:val="000000"/>
                <w:sz w:val="20"/>
              </w:rPr>
              <w:t>feet</w:t>
            </w:r>
          </w:p>
        </w:tc>
      </w:tr>
      <w:tr>
        <w:trPr>
          <w:trHeight w:val="240" w:hRule="atLeast"/>
        </w:trPr>
        <w:tc>
          <w:tcPr>
            <w:tcW w:w="3510" w:type="dxa"/>
            <w:tcBorders>
              <w:start w:val="single" w:sz="4" w:space="0" w:color="000000"/>
            </w:tcBorders>
          </w:tcPr>
          <w:p>
            <w:pPr>
              <w:pStyle w:val="Normal"/>
              <w:snapToGrid w:val="false"/>
              <w:jc w:val="end"/>
              <w:rPr>
                <w:color w:val="000000"/>
                <w:sz w:val="20"/>
              </w:rPr>
            </w:pPr>
            <w:r>
              <w:rPr>
                <w:color w:val="000000"/>
                <w:sz w:val="20"/>
              </w:rPr>
            </w:r>
          </w:p>
        </w:tc>
        <w:tc>
          <w:tcPr>
            <w:tcW w:w="1170" w:type="dxa"/>
            <w:tcBorders>
              <w:start w:val="single" w:sz="4" w:space="0" w:color="000000"/>
            </w:tcBorders>
          </w:tcPr>
          <w:p>
            <w:pPr>
              <w:pStyle w:val="Normal"/>
              <w:snapToGrid w:val="false"/>
              <w:jc w:val="end"/>
              <w:rPr>
                <w:color w:val="000000"/>
                <w:sz w:val="20"/>
              </w:rPr>
            </w:pPr>
            <w:r>
              <w:rPr>
                <w:color w:val="000000"/>
                <w:sz w:val="20"/>
              </w:rPr>
            </w:r>
          </w:p>
        </w:tc>
        <w:tc>
          <w:tcPr>
            <w:tcW w:w="1890" w:type="dxa"/>
            <w:tcBorders>
              <w:end w:val="single" w:sz="4" w:space="0" w:color="000000"/>
            </w:tcBorders>
          </w:tcPr>
          <w:p>
            <w:pPr>
              <w:pStyle w:val="Normal"/>
              <w:snapToGrid w:val="false"/>
              <w:jc w:val="end"/>
              <w:rPr>
                <w:color w:val="000000"/>
                <w:sz w:val="20"/>
              </w:rPr>
            </w:pPr>
            <w:r>
              <w:rPr>
                <w:color w:val="000000"/>
                <w:sz w:val="20"/>
              </w:rPr>
            </w:r>
          </w:p>
        </w:tc>
        <w:tc>
          <w:tcPr>
            <w:tcW w:w="1170" w:type="dxa"/>
            <w:tcBorders/>
          </w:tcPr>
          <w:p>
            <w:pPr>
              <w:pStyle w:val="Normal"/>
              <w:snapToGrid w:val="false"/>
              <w:jc w:val="end"/>
              <w:rPr>
                <w:color w:val="000000"/>
                <w:sz w:val="20"/>
              </w:rPr>
            </w:pPr>
            <w:r>
              <w:rPr>
                <w:color w:val="000000"/>
                <w:sz w:val="20"/>
              </w:rPr>
            </w:r>
          </w:p>
        </w:tc>
        <w:tc>
          <w:tcPr>
            <w:tcW w:w="1980" w:type="dxa"/>
            <w:tcBorders>
              <w:end w:val="single" w:sz="4" w:space="0" w:color="000000"/>
            </w:tcBorders>
          </w:tcPr>
          <w:p>
            <w:pPr>
              <w:pStyle w:val="Normal"/>
              <w:snapToGrid w:val="false"/>
              <w:jc w:val="end"/>
              <w:rPr>
                <w:color w:val="000000"/>
                <w:sz w:val="20"/>
              </w:rPr>
            </w:pPr>
            <w:r>
              <w:rPr>
                <w:color w:val="000000"/>
                <w:sz w:val="20"/>
              </w:rPr>
            </w:r>
          </w:p>
        </w:tc>
      </w:tr>
      <w:tr>
        <w:trPr>
          <w:trHeight w:val="240" w:hRule="atLeast"/>
        </w:trPr>
        <w:tc>
          <w:tcPr>
            <w:tcW w:w="3510" w:type="dxa"/>
            <w:tcBorders>
              <w:start w:val="single" w:sz="4" w:space="0" w:color="000000"/>
            </w:tcBorders>
          </w:tcPr>
          <w:p>
            <w:pPr>
              <w:pStyle w:val="Normal"/>
              <w:rPr>
                <w:color w:val="000000"/>
                <w:sz w:val="20"/>
              </w:rPr>
            </w:pPr>
            <w:r>
              <w:rPr>
                <w:b/>
                <w:color w:val="000000"/>
                <w:sz w:val="20"/>
              </w:rPr>
              <w:t>Power Output</w:t>
            </w:r>
          </w:p>
        </w:tc>
        <w:tc>
          <w:tcPr>
            <w:tcW w:w="1170" w:type="dxa"/>
            <w:tcBorders>
              <w:start w:val="single" w:sz="4" w:space="0" w:color="000000"/>
            </w:tcBorders>
          </w:tcPr>
          <w:p>
            <w:pPr>
              <w:pStyle w:val="Normal"/>
              <w:snapToGrid w:val="false"/>
              <w:jc w:val="end"/>
              <w:rPr>
                <w:color w:val="000000"/>
                <w:sz w:val="20"/>
              </w:rPr>
            </w:pPr>
            <w:r>
              <w:rPr>
                <w:color w:val="000000"/>
                <w:sz w:val="20"/>
              </w:rPr>
            </w:r>
          </w:p>
        </w:tc>
        <w:tc>
          <w:tcPr>
            <w:tcW w:w="1890" w:type="dxa"/>
            <w:tcBorders>
              <w:end w:val="single" w:sz="4" w:space="0" w:color="000000"/>
            </w:tcBorders>
          </w:tcPr>
          <w:p>
            <w:pPr>
              <w:pStyle w:val="Normal"/>
              <w:snapToGrid w:val="false"/>
              <w:jc w:val="end"/>
              <w:rPr>
                <w:color w:val="000000"/>
                <w:sz w:val="20"/>
              </w:rPr>
            </w:pPr>
            <w:r>
              <w:rPr>
                <w:color w:val="000000"/>
                <w:sz w:val="20"/>
              </w:rPr>
            </w:r>
          </w:p>
        </w:tc>
        <w:tc>
          <w:tcPr>
            <w:tcW w:w="1170" w:type="dxa"/>
            <w:tcBorders/>
          </w:tcPr>
          <w:p>
            <w:pPr>
              <w:pStyle w:val="Normal"/>
              <w:snapToGrid w:val="false"/>
              <w:jc w:val="end"/>
              <w:rPr>
                <w:color w:val="000000"/>
                <w:sz w:val="20"/>
              </w:rPr>
            </w:pPr>
            <w:r>
              <w:rPr>
                <w:color w:val="000000"/>
                <w:sz w:val="20"/>
              </w:rPr>
            </w:r>
          </w:p>
        </w:tc>
        <w:tc>
          <w:tcPr>
            <w:tcW w:w="1980" w:type="dxa"/>
            <w:tcBorders>
              <w:end w:val="single" w:sz="4" w:space="0" w:color="000000"/>
            </w:tcBorders>
          </w:tcPr>
          <w:p>
            <w:pPr>
              <w:pStyle w:val="Normal"/>
              <w:snapToGrid w:val="false"/>
              <w:jc w:val="end"/>
              <w:rPr>
                <w:color w:val="000000"/>
                <w:sz w:val="20"/>
              </w:rPr>
            </w:pPr>
            <w:r>
              <w:rPr>
                <w:color w:val="000000"/>
                <w:sz w:val="20"/>
              </w:rPr>
            </w:r>
          </w:p>
        </w:tc>
      </w:tr>
      <w:tr>
        <w:trPr>
          <w:trHeight w:val="240" w:hRule="atLeast"/>
        </w:trPr>
        <w:tc>
          <w:tcPr>
            <w:tcW w:w="3510" w:type="dxa"/>
            <w:tcBorders>
              <w:start w:val="single" w:sz="4" w:space="0" w:color="000000"/>
            </w:tcBorders>
          </w:tcPr>
          <w:p>
            <w:pPr>
              <w:pStyle w:val="Normal"/>
              <w:rPr>
                <w:color w:val="000000"/>
                <w:sz w:val="20"/>
              </w:rPr>
            </w:pPr>
            <w:r>
              <w:rPr>
                <w:rFonts w:eastAsia="Arial"/>
                <w:color w:val="000000"/>
                <w:sz w:val="20"/>
              </w:rPr>
              <w:t xml:space="preserve">  </w:t>
            </w:r>
            <w:r>
              <w:rPr>
                <w:color w:val="000000"/>
                <w:sz w:val="20"/>
              </w:rPr>
              <w:t>Power at Plant Rating</w:t>
            </w:r>
          </w:p>
        </w:tc>
        <w:tc>
          <w:tcPr>
            <w:tcW w:w="1170" w:type="dxa"/>
            <w:tcBorders>
              <w:start w:val="single" w:sz="4" w:space="0" w:color="000000"/>
            </w:tcBorders>
          </w:tcPr>
          <w:p>
            <w:pPr>
              <w:pStyle w:val="Normal"/>
              <w:jc w:val="end"/>
              <w:rPr>
                <w:color w:val="000000"/>
                <w:sz w:val="20"/>
              </w:rPr>
            </w:pPr>
            <w:r>
              <w:rPr>
                <w:color w:val="000000"/>
                <w:sz w:val="20"/>
              </w:rPr>
              <w:t xml:space="preserve">2000 </w:t>
            </w:r>
          </w:p>
        </w:tc>
        <w:tc>
          <w:tcPr>
            <w:tcW w:w="1890" w:type="dxa"/>
            <w:tcBorders>
              <w:end w:val="single" w:sz="4" w:space="0" w:color="000000"/>
            </w:tcBorders>
          </w:tcPr>
          <w:p>
            <w:pPr>
              <w:pStyle w:val="Normal"/>
              <w:rPr>
                <w:color w:val="000000"/>
                <w:sz w:val="20"/>
              </w:rPr>
            </w:pPr>
            <w:r>
              <w:rPr>
                <w:color w:val="000000"/>
                <w:sz w:val="20"/>
              </w:rPr>
              <w:t>kW</w:t>
            </w:r>
          </w:p>
        </w:tc>
        <w:tc>
          <w:tcPr>
            <w:tcW w:w="1170" w:type="dxa"/>
            <w:tcBorders/>
          </w:tcPr>
          <w:p>
            <w:pPr>
              <w:pStyle w:val="Normal"/>
              <w:jc w:val="end"/>
              <w:rPr>
                <w:color w:val="000000"/>
                <w:sz w:val="20"/>
              </w:rPr>
            </w:pPr>
            <w:r>
              <w:rPr>
                <w:color w:val="000000"/>
                <w:sz w:val="20"/>
              </w:rPr>
              <w:t>2400</w:t>
            </w:r>
          </w:p>
        </w:tc>
        <w:tc>
          <w:tcPr>
            <w:tcW w:w="1980" w:type="dxa"/>
            <w:tcBorders>
              <w:end w:val="single" w:sz="4" w:space="0" w:color="000000"/>
            </w:tcBorders>
          </w:tcPr>
          <w:p>
            <w:pPr>
              <w:pStyle w:val="Normal"/>
              <w:rPr>
                <w:color w:val="000000"/>
                <w:sz w:val="20"/>
              </w:rPr>
            </w:pPr>
            <w:r>
              <w:rPr>
                <w:color w:val="000000"/>
                <w:sz w:val="20"/>
              </w:rPr>
              <w:t>kW</w:t>
            </w:r>
          </w:p>
        </w:tc>
      </w:tr>
      <w:tr>
        <w:trPr>
          <w:trHeight w:val="240" w:hRule="atLeast"/>
        </w:trPr>
        <w:tc>
          <w:tcPr>
            <w:tcW w:w="3510" w:type="dxa"/>
            <w:tcBorders>
              <w:start w:val="single" w:sz="4" w:space="0" w:color="000000"/>
            </w:tcBorders>
          </w:tcPr>
          <w:p>
            <w:pPr>
              <w:pStyle w:val="Normal"/>
              <w:snapToGrid w:val="false"/>
              <w:rPr>
                <w:color w:val="000000"/>
                <w:sz w:val="20"/>
              </w:rPr>
            </w:pPr>
            <w:r>
              <w:rPr>
                <w:color w:val="000000"/>
                <w:sz w:val="20"/>
              </w:rPr>
            </w:r>
          </w:p>
        </w:tc>
        <w:tc>
          <w:tcPr>
            <w:tcW w:w="1170" w:type="dxa"/>
            <w:tcBorders>
              <w:start w:val="single" w:sz="4" w:space="0" w:color="000000"/>
            </w:tcBorders>
          </w:tcPr>
          <w:p>
            <w:pPr>
              <w:pStyle w:val="Normal"/>
              <w:jc w:val="end"/>
              <w:rPr>
                <w:color w:val="000000"/>
                <w:sz w:val="20"/>
              </w:rPr>
            </w:pPr>
            <w:r>
              <w:rPr>
                <w:color w:val="000000"/>
                <w:sz w:val="20"/>
              </w:rPr>
              <w:t>up to 3300</w:t>
            </w:r>
          </w:p>
        </w:tc>
        <w:tc>
          <w:tcPr>
            <w:tcW w:w="1890" w:type="dxa"/>
            <w:tcBorders>
              <w:end w:val="single" w:sz="4" w:space="0" w:color="000000"/>
            </w:tcBorders>
          </w:tcPr>
          <w:p>
            <w:pPr>
              <w:pStyle w:val="Normal"/>
              <w:rPr>
                <w:color w:val="000000"/>
                <w:sz w:val="20"/>
              </w:rPr>
            </w:pPr>
            <w:r>
              <w:rPr>
                <w:color w:val="000000"/>
                <w:sz w:val="20"/>
              </w:rPr>
              <w:t>kVA</w:t>
            </w:r>
          </w:p>
        </w:tc>
        <w:tc>
          <w:tcPr>
            <w:tcW w:w="1170" w:type="dxa"/>
            <w:tcBorders/>
          </w:tcPr>
          <w:p>
            <w:pPr>
              <w:pStyle w:val="Normal"/>
              <w:jc w:val="end"/>
              <w:rPr>
                <w:color w:val="000000"/>
                <w:sz w:val="20"/>
              </w:rPr>
            </w:pPr>
            <w:r>
              <w:rPr>
                <w:color w:val="000000"/>
                <w:sz w:val="20"/>
              </w:rPr>
              <w:t>up to 3300</w:t>
            </w:r>
          </w:p>
        </w:tc>
        <w:tc>
          <w:tcPr>
            <w:tcW w:w="1980" w:type="dxa"/>
            <w:tcBorders>
              <w:end w:val="single" w:sz="4" w:space="0" w:color="000000"/>
            </w:tcBorders>
          </w:tcPr>
          <w:p>
            <w:pPr>
              <w:pStyle w:val="Normal"/>
              <w:rPr>
                <w:color w:val="000000"/>
                <w:sz w:val="20"/>
              </w:rPr>
            </w:pPr>
            <w:r>
              <w:rPr>
                <w:color w:val="000000"/>
                <w:sz w:val="20"/>
              </w:rPr>
              <w:t>kVA</w:t>
            </w:r>
          </w:p>
        </w:tc>
      </w:tr>
      <w:tr>
        <w:trPr>
          <w:trHeight w:val="240" w:hRule="atLeast"/>
        </w:trPr>
        <w:tc>
          <w:tcPr>
            <w:tcW w:w="3510" w:type="dxa"/>
            <w:tcBorders>
              <w:start w:val="single" w:sz="4" w:space="0" w:color="000000"/>
            </w:tcBorders>
          </w:tcPr>
          <w:p>
            <w:pPr>
              <w:pStyle w:val="Normal"/>
              <w:rPr>
                <w:color w:val="000000"/>
                <w:sz w:val="20"/>
              </w:rPr>
            </w:pPr>
            <w:r>
              <w:rPr>
                <w:rFonts w:eastAsia="Arial"/>
                <w:color w:val="000000"/>
                <w:sz w:val="20"/>
              </w:rPr>
              <w:t xml:space="preserve">  </w:t>
            </w:r>
            <w:r>
              <w:rPr>
                <w:color w:val="000000"/>
                <w:sz w:val="20"/>
              </w:rPr>
              <w:t>Voltage</w:t>
            </w:r>
          </w:p>
        </w:tc>
        <w:tc>
          <w:tcPr>
            <w:tcW w:w="3060" w:type="dxa"/>
            <w:gridSpan w:val="2"/>
            <w:tcBorders>
              <w:start w:val="single" w:sz="4" w:space="0" w:color="000000"/>
              <w:end w:val="single" w:sz="4" w:space="0" w:color="000000"/>
            </w:tcBorders>
          </w:tcPr>
          <w:p>
            <w:pPr>
              <w:pStyle w:val="Normal"/>
              <w:jc w:val="center"/>
              <w:rPr>
                <w:color w:val="000000"/>
                <w:sz w:val="20"/>
              </w:rPr>
            </w:pPr>
            <w:r>
              <w:rPr>
                <w:color w:val="000000"/>
                <w:sz w:val="20"/>
              </w:rPr>
              <w:t>Site dependent</w:t>
            </w:r>
          </w:p>
        </w:tc>
        <w:tc>
          <w:tcPr>
            <w:tcW w:w="3150" w:type="dxa"/>
            <w:gridSpan w:val="2"/>
            <w:tcBorders>
              <w:end w:val="single" w:sz="4" w:space="0" w:color="000000"/>
            </w:tcBorders>
          </w:tcPr>
          <w:p>
            <w:pPr>
              <w:pStyle w:val="Normal"/>
              <w:jc w:val="center"/>
              <w:rPr>
                <w:color w:val="000000"/>
                <w:sz w:val="20"/>
              </w:rPr>
            </w:pPr>
            <w:r>
              <w:rPr>
                <w:color w:val="000000"/>
                <w:sz w:val="20"/>
              </w:rPr>
              <w:t>Site dependent</w:t>
            </w:r>
          </w:p>
        </w:tc>
      </w:tr>
      <w:tr>
        <w:trPr>
          <w:trHeight w:val="240" w:hRule="atLeast"/>
        </w:trPr>
        <w:tc>
          <w:tcPr>
            <w:tcW w:w="3510" w:type="dxa"/>
            <w:tcBorders>
              <w:start w:val="single" w:sz="4" w:space="0" w:color="000000"/>
            </w:tcBorders>
          </w:tcPr>
          <w:p>
            <w:pPr>
              <w:pStyle w:val="Normal"/>
              <w:rPr>
                <w:color w:val="000000"/>
                <w:sz w:val="20"/>
              </w:rPr>
            </w:pPr>
            <w:r>
              <w:rPr>
                <w:rFonts w:eastAsia="Arial"/>
                <w:color w:val="000000"/>
                <w:sz w:val="20"/>
              </w:rPr>
              <w:t xml:space="preserve">  </w:t>
            </w:r>
            <w:r>
              <w:rPr>
                <w:color w:val="000000"/>
                <w:sz w:val="20"/>
              </w:rPr>
              <w:t>Frequency</w:t>
            </w:r>
          </w:p>
        </w:tc>
        <w:tc>
          <w:tcPr>
            <w:tcW w:w="1170" w:type="dxa"/>
            <w:tcBorders>
              <w:start w:val="single" w:sz="4" w:space="0" w:color="000000"/>
            </w:tcBorders>
          </w:tcPr>
          <w:p>
            <w:pPr>
              <w:pStyle w:val="Normal"/>
              <w:jc w:val="end"/>
              <w:rPr>
                <w:color w:val="000000"/>
                <w:sz w:val="20"/>
              </w:rPr>
            </w:pPr>
            <w:r>
              <w:rPr>
                <w:color w:val="000000"/>
                <w:sz w:val="20"/>
              </w:rPr>
              <w:t xml:space="preserve">60 </w:t>
            </w:r>
          </w:p>
        </w:tc>
        <w:tc>
          <w:tcPr>
            <w:tcW w:w="1890" w:type="dxa"/>
            <w:tcBorders>
              <w:end w:val="single" w:sz="4" w:space="0" w:color="000000"/>
            </w:tcBorders>
          </w:tcPr>
          <w:p>
            <w:pPr>
              <w:pStyle w:val="Normal"/>
              <w:rPr>
                <w:color w:val="000000"/>
                <w:sz w:val="20"/>
              </w:rPr>
            </w:pPr>
            <w:r>
              <w:rPr>
                <w:color w:val="000000"/>
                <w:sz w:val="20"/>
              </w:rPr>
              <w:t xml:space="preserve">Hz </w:t>
            </w:r>
          </w:p>
        </w:tc>
        <w:tc>
          <w:tcPr>
            <w:tcW w:w="1170" w:type="dxa"/>
            <w:tcBorders/>
          </w:tcPr>
          <w:p>
            <w:pPr>
              <w:pStyle w:val="Normal"/>
              <w:jc w:val="end"/>
              <w:rPr>
                <w:color w:val="000000"/>
                <w:sz w:val="20"/>
              </w:rPr>
            </w:pPr>
            <w:r>
              <w:rPr>
                <w:color w:val="000000"/>
                <w:sz w:val="20"/>
              </w:rPr>
              <w:t>60</w:t>
            </w:r>
          </w:p>
        </w:tc>
        <w:tc>
          <w:tcPr>
            <w:tcW w:w="1980" w:type="dxa"/>
            <w:tcBorders>
              <w:end w:val="single" w:sz="4" w:space="0" w:color="000000"/>
            </w:tcBorders>
          </w:tcPr>
          <w:p>
            <w:pPr>
              <w:pStyle w:val="Normal"/>
              <w:rPr>
                <w:color w:val="000000"/>
                <w:sz w:val="20"/>
              </w:rPr>
            </w:pPr>
            <w:r>
              <w:rPr>
                <w:color w:val="000000"/>
                <w:sz w:val="20"/>
              </w:rPr>
              <w:t xml:space="preserve">Hz </w:t>
            </w:r>
          </w:p>
        </w:tc>
      </w:tr>
      <w:tr>
        <w:trPr>
          <w:trHeight w:val="240" w:hRule="atLeast"/>
        </w:trPr>
        <w:tc>
          <w:tcPr>
            <w:tcW w:w="3510" w:type="dxa"/>
            <w:tcBorders>
              <w:start w:val="single" w:sz="4" w:space="0" w:color="000000"/>
            </w:tcBorders>
          </w:tcPr>
          <w:p>
            <w:pPr>
              <w:pStyle w:val="Normal"/>
              <w:rPr>
                <w:color w:val="000000"/>
                <w:sz w:val="20"/>
              </w:rPr>
            </w:pPr>
            <w:r>
              <w:rPr>
                <w:rFonts w:eastAsia="Arial"/>
                <w:color w:val="000000"/>
                <w:sz w:val="20"/>
              </w:rPr>
              <w:t xml:space="preserve">  </w:t>
            </w:r>
            <w:r>
              <w:rPr>
                <w:color w:val="000000"/>
                <w:sz w:val="20"/>
              </w:rPr>
              <w:t>Power Quality</w:t>
            </w:r>
          </w:p>
        </w:tc>
        <w:tc>
          <w:tcPr>
            <w:tcW w:w="3060" w:type="dxa"/>
            <w:gridSpan w:val="2"/>
            <w:tcBorders>
              <w:start w:val="single" w:sz="4" w:space="0" w:color="000000"/>
              <w:end w:val="single" w:sz="4" w:space="0" w:color="000000"/>
            </w:tcBorders>
          </w:tcPr>
          <w:p>
            <w:pPr>
              <w:pStyle w:val="Normal"/>
              <w:jc w:val="center"/>
              <w:rPr>
                <w:color w:val="000000"/>
                <w:sz w:val="20"/>
              </w:rPr>
            </w:pPr>
            <w:r>
              <w:rPr>
                <w:color w:val="000000"/>
                <w:sz w:val="20"/>
              </w:rPr>
              <w:t>Per IEEE 519</w:t>
            </w:r>
          </w:p>
        </w:tc>
        <w:tc>
          <w:tcPr>
            <w:tcW w:w="3150" w:type="dxa"/>
            <w:gridSpan w:val="2"/>
            <w:tcBorders>
              <w:end w:val="single" w:sz="4" w:space="0" w:color="000000"/>
            </w:tcBorders>
          </w:tcPr>
          <w:p>
            <w:pPr>
              <w:pStyle w:val="Normal"/>
              <w:jc w:val="center"/>
              <w:rPr>
                <w:color w:val="000000"/>
                <w:sz w:val="20"/>
              </w:rPr>
            </w:pPr>
            <w:r>
              <w:rPr>
                <w:color w:val="000000"/>
                <w:sz w:val="20"/>
              </w:rPr>
              <w:t>Per IEEE 519</w:t>
            </w:r>
          </w:p>
        </w:tc>
      </w:tr>
      <w:tr>
        <w:trPr>
          <w:trHeight w:val="240" w:hRule="atLeast"/>
        </w:trPr>
        <w:tc>
          <w:tcPr>
            <w:tcW w:w="3510" w:type="dxa"/>
            <w:tcBorders>
              <w:start w:val="single" w:sz="4" w:space="0" w:color="000000"/>
            </w:tcBorders>
          </w:tcPr>
          <w:p>
            <w:pPr>
              <w:pStyle w:val="Normal"/>
              <w:snapToGrid w:val="false"/>
              <w:jc w:val="end"/>
              <w:rPr>
                <w:color w:val="000000"/>
                <w:sz w:val="20"/>
              </w:rPr>
            </w:pPr>
            <w:r>
              <w:rPr>
                <w:color w:val="000000"/>
                <w:sz w:val="20"/>
              </w:rPr>
            </w:r>
          </w:p>
        </w:tc>
        <w:tc>
          <w:tcPr>
            <w:tcW w:w="1170" w:type="dxa"/>
            <w:tcBorders>
              <w:start w:val="single" w:sz="4" w:space="0" w:color="000000"/>
            </w:tcBorders>
          </w:tcPr>
          <w:p>
            <w:pPr>
              <w:pStyle w:val="Normal"/>
              <w:snapToGrid w:val="false"/>
              <w:jc w:val="end"/>
              <w:rPr>
                <w:color w:val="000000"/>
                <w:sz w:val="20"/>
              </w:rPr>
            </w:pPr>
            <w:r>
              <w:rPr>
                <w:color w:val="000000"/>
                <w:sz w:val="20"/>
              </w:rPr>
            </w:r>
          </w:p>
        </w:tc>
        <w:tc>
          <w:tcPr>
            <w:tcW w:w="1890" w:type="dxa"/>
            <w:tcBorders>
              <w:end w:val="single" w:sz="4" w:space="0" w:color="000000"/>
            </w:tcBorders>
          </w:tcPr>
          <w:p>
            <w:pPr>
              <w:pStyle w:val="Normal"/>
              <w:snapToGrid w:val="false"/>
              <w:jc w:val="end"/>
              <w:rPr>
                <w:color w:val="000000"/>
                <w:sz w:val="20"/>
              </w:rPr>
            </w:pPr>
            <w:r>
              <w:rPr>
                <w:color w:val="000000"/>
                <w:sz w:val="20"/>
              </w:rPr>
            </w:r>
          </w:p>
        </w:tc>
        <w:tc>
          <w:tcPr>
            <w:tcW w:w="1170" w:type="dxa"/>
            <w:tcBorders/>
          </w:tcPr>
          <w:p>
            <w:pPr>
              <w:pStyle w:val="Normal"/>
              <w:snapToGrid w:val="false"/>
              <w:jc w:val="end"/>
              <w:rPr>
                <w:color w:val="000000"/>
                <w:sz w:val="20"/>
              </w:rPr>
            </w:pPr>
            <w:r>
              <w:rPr>
                <w:color w:val="000000"/>
                <w:sz w:val="20"/>
              </w:rPr>
            </w:r>
          </w:p>
        </w:tc>
        <w:tc>
          <w:tcPr>
            <w:tcW w:w="1980" w:type="dxa"/>
            <w:tcBorders>
              <w:end w:val="single" w:sz="4" w:space="0" w:color="000000"/>
            </w:tcBorders>
          </w:tcPr>
          <w:p>
            <w:pPr>
              <w:pStyle w:val="Normal"/>
              <w:snapToGrid w:val="false"/>
              <w:jc w:val="end"/>
              <w:rPr>
                <w:color w:val="000000"/>
                <w:sz w:val="20"/>
              </w:rPr>
            </w:pPr>
            <w:r>
              <w:rPr>
                <w:color w:val="000000"/>
                <w:sz w:val="20"/>
              </w:rPr>
            </w:r>
          </w:p>
        </w:tc>
      </w:tr>
      <w:tr>
        <w:trPr>
          <w:trHeight w:val="240" w:hRule="atLeast"/>
        </w:trPr>
        <w:tc>
          <w:tcPr>
            <w:tcW w:w="3510" w:type="dxa"/>
            <w:tcBorders>
              <w:start w:val="single" w:sz="4" w:space="0" w:color="000000"/>
            </w:tcBorders>
          </w:tcPr>
          <w:p>
            <w:pPr>
              <w:pStyle w:val="Normal"/>
              <w:snapToGrid w:val="false"/>
              <w:rPr>
                <w:color w:val="000000"/>
                <w:sz w:val="20"/>
              </w:rPr>
            </w:pPr>
            <w:r>
              <w:rPr>
                <w:color w:val="000000"/>
                <w:sz w:val="20"/>
              </w:rPr>
            </w:r>
          </w:p>
        </w:tc>
        <w:tc>
          <w:tcPr>
            <w:tcW w:w="1170" w:type="dxa"/>
            <w:tcBorders>
              <w:start w:val="single" w:sz="4" w:space="0" w:color="000000"/>
            </w:tcBorders>
          </w:tcPr>
          <w:p>
            <w:pPr>
              <w:pStyle w:val="Normal"/>
              <w:snapToGrid w:val="false"/>
              <w:jc w:val="end"/>
              <w:rPr>
                <w:color w:val="000000"/>
                <w:sz w:val="20"/>
              </w:rPr>
            </w:pPr>
            <w:r>
              <w:rPr>
                <w:color w:val="000000"/>
                <w:sz w:val="20"/>
              </w:rPr>
            </w:r>
          </w:p>
        </w:tc>
        <w:tc>
          <w:tcPr>
            <w:tcW w:w="1890" w:type="dxa"/>
            <w:tcBorders>
              <w:end w:val="single" w:sz="4" w:space="0" w:color="000000"/>
            </w:tcBorders>
          </w:tcPr>
          <w:p>
            <w:pPr>
              <w:pStyle w:val="Normal"/>
              <w:snapToGrid w:val="false"/>
              <w:jc w:val="end"/>
              <w:rPr>
                <w:color w:val="000000"/>
                <w:sz w:val="20"/>
              </w:rPr>
            </w:pPr>
            <w:r>
              <w:rPr>
                <w:color w:val="000000"/>
                <w:sz w:val="20"/>
              </w:rPr>
            </w:r>
          </w:p>
        </w:tc>
        <w:tc>
          <w:tcPr>
            <w:tcW w:w="1170" w:type="dxa"/>
            <w:tcBorders/>
          </w:tcPr>
          <w:p>
            <w:pPr>
              <w:pStyle w:val="Normal"/>
              <w:snapToGrid w:val="false"/>
              <w:jc w:val="end"/>
              <w:rPr>
                <w:color w:val="000000"/>
                <w:sz w:val="20"/>
              </w:rPr>
            </w:pPr>
            <w:r>
              <w:rPr>
                <w:color w:val="000000"/>
                <w:sz w:val="20"/>
              </w:rPr>
            </w:r>
          </w:p>
        </w:tc>
        <w:tc>
          <w:tcPr>
            <w:tcW w:w="1980" w:type="dxa"/>
            <w:tcBorders>
              <w:end w:val="single" w:sz="4" w:space="0" w:color="000000"/>
            </w:tcBorders>
          </w:tcPr>
          <w:p>
            <w:pPr>
              <w:pStyle w:val="Normal"/>
              <w:snapToGrid w:val="false"/>
              <w:jc w:val="end"/>
              <w:rPr>
                <w:color w:val="000000"/>
                <w:sz w:val="20"/>
              </w:rPr>
            </w:pPr>
            <w:r>
              <w:rPr>
                <w:color w:val="000000"/>
                <w:sz w:val="20"/>
              </w:rPr>
            </w:r>
          </w:p>
        </w:tc>
      </w:tr>
      <w:tr>
        <w:trPr>
          <w:trHeight w:val="240" w:hRule="atLeast"/>
        </w:trPr>
        <w:tc>
          <w:tcPr>
            <w:tcW w:w="3510" w:type="dxa"/>
            <w:tcBorders>
              <w:start w:val="single" w:sz="4" w:space="0" w:color="000000"/>
            </w:tcBorders>
          </w:tcPr>
          <w:p>
            <w:pPr>
              <w:pStyle w:val="Normal"/>
              <w:rPr>
                <w:b/>
                <w:color w:val="000000"/>
                <w:sz w:val="20"/>
              </w:rPr>
            </w:pPr>
            <w:r>
              <w:rPr>
                <w:b/>
                <w:color w:val="000000"/>
                <w:sz w:val="20"/>
              </w:rPr>
              <w:t>Efficiency At Rated Output</w:t>
            </w:r>
          </w:p>
        </w:tc>
        <w:tc>
          <w:tcPr>
            <w:tcW w:w="1170" w:type="dxa"/>
            <w:tcBorders>
              <w:start w:val="single" w:sz="4" w:space="0" w:color="000000"/>
            </w:tcBorders>
          </w:tcPr>
          <w:p>
            <w:pPr>
              <w:pStyle w:val="Normal"/>
              <w:jc w:val="end"/>
              <w:rPr>
                <w:color w:val="000000"/>
                <w:sz w:val="20"/>
              </w:rPr>
            </w:pPr>
            <w:r>
              <w:rPr>
                <w:color w:val="000000"/>
                <w:sz w:val="20"/>
              </w:rPr>
              <w:t>50%</w:t>
            </w:r>
          </w:p>
        </w:tc>
        <w:tc>
          <w:tcPr>
            <w:tcW w:w="1890" w:type="dxa"/>
            <w:tcBorders>
              <w:end w:val="single" w:sz="4" w:space="0" w:color="000000"/>
            </w:tcBorders>
          </w:tcPr>
          <w:p>
            <w:pPr>
              <w:pStyle w:val="Normal"/>
              <w:rPr>
                <w:color w:val="000000"/>
                <w:sz w:val="20"/>
              </w:rPr>
            </w:pPr>
            <w:r>
              <w:rPr>
                <w:color w:val="000000"/>
                <w:sz w:val="20"/>
              </w:rPr>
              <w:t>LHV</w:t>
            </w:r>
          </w:p>
        </w:tc>
        <w:tc>
          <w:tcPr>
            <w:tcW w:w="1170" w:type="dxa"/>
            <w:tcBorders/>
          </w:tcPr>
          <w:p>
            <w:pPr>
              <w:pStyle w:val="Normal"/>
              <w:jc w:val="end"/>
              <w:rPr>
                <w:color w:val="000000"/>
                <w:sz w:val="20"/>
              </w:rPr>
            </w:pPr>
            <w:r>
              <w:rPr>
                <w:color w:val="000000"/>
                <w:sz w:val="20"/>
              </w:rPr>
              <w:t>52%</w:t>
            </w:r>
          </w:p>
        </w:tc>
        <w:tc>
          <w:tcPr>
            <w:tcW w:w="1980" w:type="dxa"/>
            <w:tcBorders>
              <w:end w:val="single" w:sz="4" w:space="0" w:color="000000"/>
            </w:tcBorders>
          </w:tcPr>
          <w:p>
            <w:pPr>
              <w:pStyle w:val="Normal"/>
              <w:rPr>
                <w:color w:val="000000"/>
                <w:sz w:val="20"/>
              </w:rPr>
            </w:pPr>
            <w:r>
              <w:rPr>
                <w:color w:val="000000"/>
                <w:sz w:val="20"/>
              </w:rPr>
              <w:t>LHV</w:t>
            </w:r>
          </w:p>
        </w:tc>
      </w:tr>
      <w:tr>
        <w:trPr>
          <w:trHeight w:val="240" w:hRule="atLeast"/>
        </w:trPr>
        <w:tc>
          <w:tcPr>
            <w:tcW w:w="3510" w:type="dxa"/>
            <w:tcBorders>
              <w:start w:val="single" w:sz="4" w:space="0" w:color="000000"/>
            </w:tcBorders>
          </w:tcPr>
          <w:p>
            <w:pPr>
              <w:pStyle w:val="Normal"/>
              <w:snapToGrid w:val="false"/>
              <w:jc w:val="end"/>
              <w:rPr>
                <w:color w:val="000000"/>
                <w:sz w:val="20"/>
              </w:rPr>
            </w:pPr>
            <w:r>
              <w:rPr>
                <w:color w:val="000000"/>
                <w:sz w:val="20"/>
              </w:rPr>
            </w:r>
          </w:p>
        </w:tc>
        <w:tc>
          <w:tcPr>
            <w:tcW w:w="1170" w:type="dxa"/>
            <w:tcBorders>
              <w:start w:val="single" w:sz="4" w:space="0" w:color="000000"/>
            </w:tcBorders>
          </w:tcPr>
          <w:p>
            <w:pPr>
              <w:pStyle w:val="Normal"/>
              <w:jc w:val="end"/>
              <w:rPr>
                <w:color w:val="000000"/>
                <w:sz w:val="20"/>
              </w:rPr>
            </w:pPr>
            <w:r>
              <w:rPr>
                <w:color w:val="000000"/>
                <w:sz w:val="20"/>
              </w:rPr>
              <w:t xml:space="preserve">6,790 </w:t>
            </w:r>
          </w:p>
        </w:tc>
        <w:tc>
          <w:tcPr>
            <w:tcW w:w="1890" w:type="dxa"/>
            <w:tcBorders>
              <w:end w:val="single" w:sz="4" w:space="0" w:color="000000"/>
            </w:tcBorders>
          </w:tcPr>
          <w:p>
            <w:pPr>
              <w:pStyle w:val="Normal"/>
              <w:rPr>
                <w:color w:val="000000"/>
                <w:sz w:val="20"/>
              </w:rPr>
            </w:pPr>
            <w:r>
              <w:rPr>
                <w:color w:val="000000"/>
                <w:sz w:val="20"/>
              </w:rPr>
              <w:t>Btu/kWh LHV</w:t>
            </w:r>
          </w:p>
        </w:tc>
        <w:tc>
          <w:tcPr>
            <w:tcW w:w="1170" w:type="dxa"/>
            <w:tcBorders/>
          </w:tcPr>
          <w:p>
            <w:pPr>
              <w:pStyle w:val="Normal"/>
              <w:jc w:val="end"/>
              <w:rPr>
                <w:color w:val="000000"/>
                <w:sz w:val="20"/>
              </w:rPr>
            </w:pPr>
            <w:r>
              <w:rPr>
                <w:color w:val="000000"/>
                <w:sz w:val="20"/>
              </w:rPr>
              <w:t>6,600</w:t>
            </w:r>
          </w:p>
        </w:tc>
        <w:tc>
          <w:tcPr>
            <w:tcW w:w="1980" w:type="dxa"/>
            <w:tcBorders>
              <w:end w:val="single" w:sz="4" w:space="0" w:color="000000"/>
            </w:tcBorders>
          </w:tcPr>
          <w:p>
            <w:pPr>
              <w:pStyle w:val="Normal"/>
              <w:rPr>
                <w:color w:val="000000"/>
                <w:sz w:val="20"/>
              </w:rPr>
            </w:pPr>
            <w:r>
              <w:rPr>
                <w:color w:val="000000"/>
                <w:sz w:val="20"/>
              </w:rPr>
              <w:t>Btu/kWh LHV</w:t>
            </w:r>
          </w:p>
        </w:tc>
      </w:tr>
      <w:tr>
        <w:trPr>
          <w:trHeight w:val="240" w:hRule="atLeast"/>
        </w:trPr>
        <w:tc>
          <w:tcPr>
            <w:tcW w:w="3510" w:type="dxa"/>
            <w:tcBorders>
              <w:start w:val="single" w:sz="4" w:space="0" w:color="000000"/>
            </w:tcBorders>
          </w:tcPr>
          <w:p>
            <w:pPr>
              <w:pStyle w:val="Normal"/>
              <w:rPr>
                <w:rFonts w:eastAsia="Arial"/>
                <w:color w:val="000000"/>
                <w:sz w:val="20"/>
              </w:rPr>
            </w:pPr>
            <w:r>
              <w:rPr>
                <w:rFonts w:eastAsia="Arial"/>
                <w:color w:val="000000"/>
                <w:sz w:val="20"/>
              </w:rPr>
              <w:t xml:space="preserve"> </w:t>
            </w:r>
          </w:p>
        </w:tc>
        <w:tc>
          <w:tcPr>
            <w:tcW w:w="1170" w:type="dxa"/>
            <w:tcBorders>
              <w:start w:val="single" w:sz="4" w:space="0" w:color="000000"/>
            </w:tcBorders>
          </w:tcPr>
          <w:p>
            <w:pPr>
              <w:pStyle w:val="Normal"/>
              <w:snapToGrid w:val="false"/>
              <w:jc w:val="end"/>
              <w:rPr>
                <w:color w:val="000000"/>
                <w:sz w:val="20"/>
              </w:rPr>
            </w:pPr>
            <w:r>
              <w:rPr>
                <w:color w:val="000000"/>
                <w:sz w:val="20"/>
              </w:rPr>
            </w:r>
          </w:p>
        </w:tc>
        <w:tc>
          <w:tcPr>
            <w:tcW w:w="1890" w:type="dxa"/>
            <w:tcBorders>
              <w:end w:val="single" w:sz="4" w:space="0" w:color="000000"/>
            </w:tcBorders>
          </w:tcPr>
          <w:p>
            <w:pPr>
              <w:pStyle w:val="Normal"/>
              <w:snapToGrid w:val="false"/>
              <w:rPr>
                <w:color w:val="000000"/>
                <w:sz w:val="20"/>
              </w:rPr>
            </w:pPr>
            <w:r>
              <w:rPr>
                <w:color w:val="000000"/>
                <w:sz w:val="20"/>
              </w:rPr>
            </w:r>
          </w:p>
        </w:tc>
        <w:tc>
          <w:tcPr>
            <w:tcW w:w="1170" w:type="dxa"/>
            <w:tcBorders/>
          </w:tcPr>
          <w:p>
            <w:pPr>
              <w:pStyle w:val="Normal"/>
              <w:snapToGrid w:val="false"/>
              <w:jc w:val="end"/>
              <w:rPr>
                <w:color w:val="000000"/>
                <w:sz w:val="20"/>
              </w:rPr>
            </w:pPr>
            <w:r>
              <w:rPr>
                <w:color w:val="000000"/>
                <w:sz w:val="20"/>
              </w:rPr>
            </w:r>
          </w:p>
        </w:tc>
        <w:tc>
          <w:tcPr>
            <w:tcW w:w="1980" w:type="dxa"/>
            <w:tcBorders>
              <w:end w:val="single" w:sz="4" w:space="0" w:color="000000"/>
            </w:tcBorders>
          </w:tcPr>
          <w:p>
            <w:pPr>
              <w:pStyle w:val="Normal"/>
              <w:snapToGrid w:val="false"/>
              <w:rPr>
                <w:color w:val="000000"/>
                <w:sz w:val="20"/>
              </w:rPr>
            </w:pPr>
            <w:r>
              <w:rPr>
                <w:color w:val="000000"/>
                <w:sz w:val="20"/>
              </w:rPr>
            </w:r>
          </w:p>
        </w:tc>
      </w:tr>
      <w:tr>
        <w:trPr>
          <w:trHeight w:val="240" w:hRule="atLeast"/>
        </w:trPr>
        <w:tc>
          <w:tcPr>
            <w:tcW w:w="3510" w:type="dxa"/>
            <w:tcBorders>
              <w:start w:val="single" w:sz="4" w:space="0" w:color="000000"/>
            </w:tcBorders>
          </w:tcPr>
          <w:p>
            <w:pPr>
              <w:pStyle w:val="Normal"/>
              <w:rPr>
                <w:b/>
                <w:color w:val="000000"/>
                <w:sz w:val="20"/>
              </w:rPr>
            </w:pPr>
            <w:r>
              <w:rPr>
                <w:b/>
                <w:color w:val="000000"/>
                <w:sz w:val="20"/>
              </w:rPr>
              <w:t>Fuel Use (@933 LHV Btu/scf), scfm</w:t>
            </w:r>
          </w:p>
        </w:tc>
        <w:tc>
          <w:tcPr>
            <w:tcW w:w="1170" w:type="dxa"/>
            <w:tcBorders>
              <w:start w:val="single" w:sz="4" w:space="0" w:color="000000"/>
            </w:tcBorders>
          </w:tcPr>
          <w:p>
            <w:pPr>
              <w:pStyle w:val="Normal"/>
              <w:jc w:val="end"/>
              <w:rPr>
                <w:color w:val="000000"/>
                <w:sz w:val="20"/>
              </w:rPr>
            </w:pPr>
            <w:r>
              <w:rPr>
                <w:color w:val="000000"/>
                <w:sz w:val="20"/>
              </w:rPr>
              <w:t>243</w:t>
            </w:r>
          </w:p>
        </w:tc>
        <w:tc>
          <w:tcPr>
            <w:tcW w:w="1890" w:type="dxa"/>
            <w:tcBorders>
              <w:end w:val="single" w:sz="4" w:space="0" w:color="000000"/>
            </w:tcBorders>
          </w:tcPr>
          <w:p>
            <w:pPr>
              <w:pStyle w:val="Normal"/>
              <w:rPr>
                <w:color w:val="000000"/>
                <w:sz w:val="20"/>
              </w:rPr>
            </w:pPr>
            <w:r>
              <w:rPr>
                <w:color w:val="000000"/>
                <w:sz w:val="20"/>
              </w:rPr>
              <w:t>scfm</w:t>
            </w:r>
          </w:p>
        </w:tc>
        <w:tc>
          <w:tcPr>
            <w:tcW w:w="1170" w:type="dxa"/>
            <w:tcBorders/>
          </w:tcPr>
          <w:p>
            <w:pPr>
              <w:pStyle w:val="Normal"/>
              <w:jc w:val="end"/>
              <w:rPr>
                <w:color w:val="000000"/>
                <w:sz w:val="20"/>
              </w:rPr>
            </w:pPr>
            <w:r>
              <w:rPr>
                <w:color w:val="000000"/>
                <w:sz w:val="20"/>
              </w:rPr>
              <w:t>283</w:t>
            </w:r>
          </w:p>
        </w:tc>
        <w:tc>
          <w:tcPr>
            <w:tcW w:w="1980" w:type="dxa"/>
            <w:tcBorders>
              <w:end w:val="single" w:sz="4" w:space="0" w:color="000000"/>
            </w:tcBorders>
          </w:tcPr>
          <w:p>
            <w:pPr>
              <w:pStyle w:val="Normal"/>
              <w:rPr>
                <w:color w:val="000000"/>
                <w:sz w:val="20"/>
              </w:rPr>
            </w:pPr>
            <w:r>
              <w:rPr>
                <w:color w:val="000000"/>
                <w:sz w:val="20"/>
              </w:rPr>
              <w:t>scfm</w:t>
            </w:r>
          </w:p>
        </w:tc>
      </w:tr>
      <w:tr>
        <w:trPr>
          <w:trHeight w:val="240" w:hRule="atLeast"/>
        </w:trPr>
        <w:tc>
          <w:tcPr>
            <w:tcW w:w="3510" w:type="dxa"/>
            <w:tcBorders>
              <w:start w:val="single" w:sz="4" w:space="0" w:color="000000"/>
            </w:tcBorders>
          </w:tcPr>
          <w:p>
            <w:pPr>
              <w:pStyle w:val="Normal"/>
              <w:snapToGrid w:val="false"/>
              <w:rPr>
                <w:b/>
                <w:color w:val="000000"/>
                <w:sz w:val="20"/>
              </w:rPr>
            </w:pPr>
            <w:r>
              <w:rPr>
                <w:b/>
                <w:color w:val="000000"/>
                <w:sz w:val="20"/>
              </w:rPr>
            </w:r>
          </w:p>
        </w:tc>
        <w:tc>
          <w:tcPr>
            <w:tcW w:w="1170" w:type="dxa"/>
            <w:tcBorders>
              <w:start w:val="single" w:sz="4" w:space="0" w:color="000000"/>
            </w:tcBorders>
          </w:tcPr>
          <w:p>
            <w:pPr>
              <w:pStyle w:val="Normal"/>
              <w:snapToGrid w:val="false"/>
              <w:jc w:val="end"/>
              <w:rPr>
                <w:b/>
                <w:color w:val="000000"/>
                <w:sz w:val="20"/>
              </w:rPr>
            </w:pPr>
            <w:r>
              <w:rPr>
                <w:b/>
                <w:color w:val="000000"/>
                <w:sz w:val="20"/>
              </w:rPr>
            </w:r>
          </w:p>
        </w:tc>
        <w:tc>
          <w:tcPr>
            <w:tcW w:w="1890" w:type="dxa"/>
            <w:tcBorders>
              <w:end w:val="single" w:sz="4" w:space="0" w:color="000000"/>
            </w:tcBorders>
          </w:tcPr>
          <w:p>
            <w:pPr>
              <w:pStyle w:val="Normal"/>
              <w:snapToGrid w:val="false"/>
              <w:jc w:val="end"/>
              <w:rPr>
                <w:color w:val="000000"/>
                <w:sz w:val="20"/>
              </w:rPr>
            </w:pPr>
            <w:r>
              <w:rPr>
                <w:color w:val="000000"/>
                <w:sz w:val="20"/>
              </w:rPr>
            </w:r>
          </w:p>
        </w:tc>
        <w:tc>
          <w:tcPr>
            <w:tcW w:w="1170" w:type="dxa"/>
            <w:tcBorders/>
          </w:tcPr>
          <w:p>
            <w:pPr>
              <w:pStyle w:val="Normal"/>
              <w:snapToGrid w:val="false"/>
              <w:jc w:val="end"/>
              <w:rPr>
                <w:color w:val="000000"/>
                <w:sz w:val="20"/>
              </w:rPr>
            </w:pPr>
            <w:r>
              <w:rPr>
                <w:color w:val="000000"/>
                <w:sz w:val="20"/>
              </w:rPr>
            </w:r>
          </w:p>
        </w:tc>
        <w:tc>
          <w:tcPr>
            <w:tcW w:w="1980" w:type="dxa"/>
            <w:tcBorders>
              <w:end w:val="single" w:sz="4" w:space="0" w:color="000000"/>
            </w:tcBorders>
          </w:tcPr>
          <w:p>
            <w:pPr>
              <w:pStyle w:val="Normal"/>
              <w:snapToGrid w:val="false"/>
              <w:jc w:val="end"/>
              <w:rPr>
                <w:color w:val="000000"/>
                <w:sz w:val="20"/>
              </w:rPr>
            </w:pPr>
            <w:r>
              <w:rPr>
                <w:color w:val="000000"/>
                <w:sz w:val="20"/>
              </w:rPr>
            </w:r>
          </w:p>
        </w:tc>
      </w:tr>
      <w:tr>
        <w:trPr>
          <w:trHeight w:val="240" w:hRule="atLeast"/>
        </w:trPr>
        <w:tc>
          <w:tcPr>
            <w:tcW w:w="3510" w:type="dxa"/>
            <w:tcBorders>
              <w:start w:val="single" w:sz="4" w:space="0" w:color="000000"/>
            </w:tcBorders>
          </w:tcPr>
          <w:p>
            <w:pPr>
              <w:pStyle w:val="Normal"/>
              <w:snapToGrid w:val="false"/>
              <w:rPr>
                <w:b/>
                <w:color w:val="000000"/>
                <w:sz w:val="20"/>
              </w:rPr>
            </w:pPr>
            <w:r>
              <w:rPr>
                <w:b/>
                <w:color w:val="000000"/>
                <w:sz w:val="20"/>
              </w:rPr>
            </w:r>
          </w:p>
        </w:tc>
        <w:tc>
          <w:tcPr>
            <w:tcW w:w="1170" w:type="dxa"/>
            <w:tcBorders>
              <w:start w:val="single" w:sz="4" w:space="0" w:color="000000"/>
            </w:tcBorders>
          </w:tcPr>
          <w:p>
            <w:pPr>
              <w:pStyle w:val="Normal"/>
              <w:snapToGrid w:val="false"/>
              <w:jc w:val="end"/>
              <w:rPr>
                <w:b/>
                <w:color w:val="000000"/>
                <w:sz w:val="20"/>
              </w:rPr>
            </w:pPr>
            <w:r>
              <w:rPr>
                <w:b/>
                <w:color w:val="000000"/>
                <w:sz w:val="20"/>
              </w:rPr>
            </w:r>
          </w:p>
        </w:tc>
        <w:tc>
          <w:tcPr>
            <w:tcW w:w="1890" w:type="dxa"/>
            <w:tcBorders>
              <w:end w:val="single" w:sz="4" w:space="0" w:color="000000"/>
            </w:tcBorders>
          </w:tcPr>
          <w:p>
            <w:pPr>
              <w:pStyle w:val="Normal"/>
              <w:snapToGrid w:val="false"/>
              <w:jc w:val="end"/>
              <w:rPr>
                <w:color w:val="000000"/>
                <w:sz w:val="20"/>
              </w:rPr>
            </w:pPr>
            <w:r>
              <w:rPr>
                <w:color w:val="000000"/>
                <w:sz w:val="20"/>
              </w:rPr>
            </w:r>
          </w:p>
        </w:tc>
        <w:tc>
          <w:tcPr>
            <w:tcW w:w="1170" w:type="dxa"/>
            <w:tcBorders/>
          </w:tcPr>
          <w:p>
            <w:pPr>
              <w:pStyle w:val="Normal"/>
              <w:snapToGrid w:val="false"/>
              <w:jc w:val="end"/>
              <w:rPr>
                <w:color w:val="000000"/>
                <w:sz w:val="20"/>
              </w:rPr>
            </w:pPr>
            <w:r>
              <w:rPr>
                <w:color w:val="000000"/>
                <w:sz w:val="20"/>
              </w:rPr>
            </w:r>
          </w:p>
        </w:tc>
        <w:tc>
          <w:tcPr>
            <w:tcW w:w="1980" w:type="dxa"/>
            <w:tcBorders>
              <w:end w:val="single" w:sz="4" w:space="0" w:color="000000"/>
            </w:tcBorders>
          </w:tcPr>
          <w:p>
            <w:pPr>
              <w:pStyle w:val="Normal"/>
              <w:snapToGrid w:val="false"/>
              <w:jc w:val="end"/>
              <w:rPr>
                <w:color w:val="000000"/>
                <w:sz w:val="20"/>
              </w:rPr>
            </w:pPr>
            <w:r>
              <w:rPr>
                <w:color w:val="000000"/>
                <w:sz w:val="20"/>
              </w:rPr>
            </w:r>
          </w:p>
        </w:tc>
      </w:tr>
      <w:tr>
        <w:trPr>
          <w:trHeight w:val="240" w:hRule="atLeast"/>
        </w:trPr>
        <w:tc>
          <w:tcPr>
            <w:tcW w:w="3510" w:type="dxa"/>
            <w:tcBorders>
              <w:start w:val="single" w:sz="4" w:space="0" w:color="000000"/>
            </w:tcBorders>
          </w:tcPr>
          <w:p>
            <w:pPr>
              <w:pStyle w:val="Normal"/>
              <w:rPr>
                <w:color w:val="000000"/>
                <w:sz w:val="20"/>
              </w:rPr>
            </w:pPr>
            <w:r>
              <w:rPr>
                <w:b/>
                <w:color w:val="000000"/>
                <w:sz w:val="20"/>
              </w:rPr>
              <w:t>Water Use</w:t>
            </w:r>
          </w:p>
        </w:tc>
        <w:tc>
          <w:tcPr>
            <w:tcW w:w="1170" w:type="dxa"/>
            <w:tcBorders>
              <w:start w:val="single" w:sz="4" w:space="0" w:color="000000"/>
            </w:tcBorders>
          </w:tcPr>
          <w:p>
            <w:pPr>
              <w:pStyle w:val="Normal"/>
              <w:snapToGrid w:val="false"/>
              <w:jc w:val="end"/>
              <w:rPr>
                <w:color w:val="000000"/>
                <w:sz w:val="20"/>
              </w:rPr>
            </w:pPr>
            <w:r>
              <w:rPr>
                <w:color w:val="000000"/>
                <w:sz w:val="20"/>
              </w:rPr>
            </w:r>
          </w:p>
        </w:tc>
        <w:tc>
          <w:tcPr>
            <w:tcW w:w="1890" w:type="dxa"/>
            <w:tcBorders>
              <w:end w:val="single" w:sz="4" w:space="0" w:color="000000"/>
            </w:tcBorders>
          </w:tcPr>
          <w:p>
            <w:pPr>
              <w:pStyle w:val="Normal"/>
              <w:snapToGrid w:val="false"/>
              <w:jc w:val="end"/>
              <w:rPr>
                <w:color w:val="000000"/>
                <w:sz w:val="20"/>
              </w:rPr>
            </w:pPr>
            <w:r>
              <w:rPr>
                <w:color w:val="000000"/>
                <w:sz w:val="20"/>
              </w:rPr>
            </w:r>
          </w:p>
        </w:tc>
        <w:tc>
          <w:tcPr>
            <w:tcW w:w="1170" w:type="dxa"/>
            <w:tcBorders/>
          </w:tcPr>
          <w:p>
            <w:pPr>
              <w:pStyle w:val="Normal"/>
              <w:snapToGrid w:val="false"/>
              <w:jc w:val="end"/>
              <w:rPr>
                <w:color w:val="000000"/>
                <w:sz w:val="20"/>
              </w:rPr>
            </w:pPr>
            <w:r>
              <w:rPr>
                <w:color w:val="000000"/>
                <w:sz w:val="20"/>
              </w:rPr>
            </w:r>
          </w:p>
        </w:tc>
        <w:tc>
          <w:tcPr>
            <w:tcW w:w="1980" w:type="dxa"/>
            <w:tcBorders>
              <w:end w:val="single" w:sz="4" w:space="0" w:color="000000"/>
            </w:tcBorders>
          </w:tcPr>
          <w:p>
            <w:pPr>
              <w:pStyle w:val="Normal"/>
              <w:snapToGrid w:val="false"/>
              <w:jc w:val="end"/>
              <w:rPr>
                <w:color w:val="000000"/>
                <w:sz w:val="20"/>
              </w:rPr>
            </w:pPr>
            <w:r>
              <w:rPr>
                <w:color w:val="000000"/>
                <w:sz w:val="20"/>
              </w:rPr>
            </w:r>
          </w:p>
        </w:tc>
      </w:tr>
      <w:tr>
        <w:trPr>
          <w:trHeight w:val="240" w:hRule="atLeast"/>
        </w:trPr>
        <w:tc>
          <w:tcPr>
            <w:tcW w:w="3510" w:type="dxa"/>
            <w:tcBorders>
              <w:start w:val="single" w:sz="4" w:space="0" w:color="000000"/>
            </w:tcBorders>
          </w:tcPr>
          <w:p>
            <w:pPr>
              <w:pStyle w:val="Normal"/>
              <w:rPr>
                <w:color w:val="000000"/>
                <w:sz w:val="20"/>
              </w:rPr>
            </w:pPr>
            <w:r>
              <w:rPr>
                <w:rFonts w:eastAsia="Arial"/>
                <w:color w:val="000000"/>
                <w:sz w:val="20"/>
              </w:rPr>
              <w:t xml:space="preserve">  </w:t>
            </w:r>
            <w:r>
              <w:rPr>
                <w:color w:val="000000"/>
                <w:sz w:val="20"/>
              </w:rPr>
              <w:t>Water Uptake</w:t>
            </w:r>
          </w:p>
        </w:tc>
        <w:tc>
          <w:tcPr>
            <w:tcW w:w="1170" w:type="dxa"/>
            <w:tcBorders>
              <w:start w:val="single" w:sz="4" w:space="0" w:color="000000"/>
            </w:tcBorders>
          </w:tcPr>
          <w:p>
            <w:pPr>
              <w:pStyle w:val="Normal"/>
              <w:jc w:val="end"/>
              <w:rPr>
                <w:color w:val="000000"/>
                <w:sz w:val="20"/>
              </w:rPr>
            </w:pPr>
            <w:r>
              <w:rPr>
                <w:color w:val="000000"/>
                <w:sz w:val="20"/>
              </w:rPr>
              <w:t xml:space="preserve">300 </w:t>
            </w:r>
          </w:p>
        </w:tc>
        <w:tc>
          <w:tcPr>
            <w:tcW w:w="1890" w:type="dxa"/>
            <w:tcBorders>
              <w:end w:val="single" w:sz="4" w:space="0" w:color="000000"/>
            </w:tcBorders>
          </w:tcPr>
          <w:p>
            <w:pPr>
              <w:pStyle w:val="Normal"/>
              <w:rPr>
                <w:color w:val="000000"/>
                <w:sz w:val="20"/>
              </w:rPr>
            </w:pPr>
            <w:r>
              <w:rPr>
                <w:color w:val="000000"/>
                <w:sz w:val="20"/>
              </w:rPr>
              <w:t>gal/h</w:t>
            </w:r>
          </w:p>
        </w:tc>
        <w:tc>
          <w:tcPr>
            <w:tcW w:w="1170" w:type="dxa"/>
            <w:tcBorders/>
          </w:tcPr>
          <w:p>
            <w:pPr>
              <w:pStyle w:val="Normal"/>
              <w:jc w:val="end"/>
              <w:rPr>
                <w:color w:val="000000"/>
                <w:sz w:val="20"/>
              </w:rPr>
            </w:pPr>
            <w:r>
              <w:rPr>
                <w:color w:val="000000"/>
                <w:sz w:val="20"/>
              </w:rPr>
              <w:t>310</w:t>
            </w:r>
          </w:p>
        </w:tc>
        <w:tc>
          <w:tcPr>
            <w:tcW w:w="1980" w:type="dxa"/>
            <w:tcBorders>
              <w:end w:val="single" w:sz="4" w:space="0" w:color="000000"/>
            </w:tcBorders>
          </w:tcPr>
          <w:p>
            <w:pPr>
              <w:pStyle w:val="Normal"/>
              <w:rPr>
                <w:color w:val="000000"/>
                <w:sz w:val="20"/>
              </w:rPr>
            </w:pPr>
            <w:r>
              <w:rPr>
                <w:color w:val="000000"/>
                <w:sz w:val="20"/>
              </w:rPr>
              <w:t>gal/h</w:t>
            </w:r>
          </w:p>
        </w:tc>
      </w:tr>
      <w:tr>
        <w:trPr>
          <w:trHeight w:val="240" w:hRule="atLeast"/>
        </w:trPr>
        <w:tc>
          <w:tcPr>
            <w:tcW w:w="3510" w:type="dxa"/>
            <w:tcBorders>
              <w:start w:val="single" w:sz="4" w:space="0" w:color="000000"/>
            </w:tcBorders>
          </w:tcPr>
          <w:p>
            <w:pPr>
              <w:pStyle w:val="Normal"/>
              <w:rPr>
                <w:color w:val="000000"/>
                <w:sz w:val="20"/>
              </w:rPr>
            </w:pPr>
            <w:r>
              <w:rPr>
                <w:rFonts w:eastAsia="Arial"/>
                <w:color w:val="000000"/>
                <w:sz w:val="20"/>
              </w:rPr>
              <w:t xml:space="preserve">  </w:t>
            </w:r>
            <w:r>
              <w:rPr>
                <w:color w:val="000000"/>
                <w:sz w:val="20"/>
              </w:rPr>
              <w:t>Water Discharge</w:t>
            </w:r>
          </w:p>
        </w:tc>
        <w:tc>
          <w:tcPr>
            <w:tcW w:w="1170" w:type="dxa"/>
            <w:tcBorders>
              <w:start w:val="single" w:sz="4" w:space="0" w:color="000000"/>
            </w:tcBorders>
          </w:tcPr>
          <w:p>
            <w:pPr>
              <w:pStyle w:val="Normal"/>
              <w:jc w:val="end"/>
              <w:rPr>
                <w:color w:val="000000"/>
                <w:sz w:val="20"/>
              </w:rPr>
            </w:pPr>
            <w:r>
              <w:rPr>
                <w:color w:val="000000"/>
                <w:sz w:val="20"/>
              </w:rPr>
              <w:t xml:space="preserve">125 </w:t>
            </w:r>
          </w:p>
        </w:tc>
        <w:tc>
          <w:tcPr>
            <w:tcW w:w="1890" w:type="dxa"/>
            <w:tcBorders>
              <w:end w:val="single" w:sz="4" w:space="0" w:color="000000"/>
            </w:tcBorders>
          </w:tcPr>
          <w:p>
            <w:pPr>
              <w:pStyle w:val="Normal"/>
              <w:rPr>
                <w:color w:val="000000"/>
                <w:sz w:val="20"/>
              </w:rPr>
            </w:pPr>
            <w:r>
              <w:rPr>
                <w:color w:val="000000"/>
                <w:sz w:val="20"/>
              </w:rPr>
              <w:t>gal/h</w:t>
            </w:r>
          </w:p>
        </w:tc>
        <w:tc>
          <w:tcPr>
            <w:tcW w:w="1170" w:type="dxa"/>
            <w:tcBorders/>
          </w:tcPr>
          <w:p>
            <w:pPr>
              <w:pStyle w:val="Normal"/>
              <w:jc w:val="end"/>
              <w:rPr>
                <w:color w:val="000000"/>
                <w:sz w:val="20"/>
              </w:rPr>
            </w:pPr>
            <w:r>
              <w:rPr>
                <w:color w:val="000000"/>
                <w:sz w:val="20"/>
              </w:rPr>
              <w:t>130</w:t>
            </w:r>
          </w:p>
        </w:tc>
        <w:tc>
          <w:tcPr>
            <w:tcW w:w="1980" w:type="dxa"/>
            <w:tcBorders>
              <w:end w:val="single" w:sz="4" w:space="0" w:color="000000"/>
            </w:tcBorders>
          </w:tcPr>
          <w:p>
            <w:pPr>
              <w:pStyle w:val="Normal"/>
              <w:rPr>
                <w:color w:val="000000"/>
                <w:sz w:val="20"/>
              </w:rPr>
            </w:pPr>
            <w:r>
              <w:rPr>
                <w:color w:val="000000"/>
                <w:sz w:val="20"/>
              </w:rPr>
              <w:t>gal/h</w:t>
            </w:r>
          </w:p>
        </w:tc>
      </w:tr>
      <w:tr>
        <w:trPr>
          <w:trHeight w:val="240" w:hRule="atLeast"/>
        </w:trPr>
        <w:tc>
          <w:tcPr>
            <w:tcW w:w="3510" w:type="dxa"/>
            <w:tcBorders>
              <w:start w:val="single" w:sz="4" w:space="0" w:color="000000"/>
            </w:tcBorders>
          </w:tcPr>
          <w:p>
            <w:pPr>
              <w:pStyle w:val="Normal"/>
              <w:snapToGrid w:val="false"/>
              <w:jc w:val="end"/>
              <w:rPr>
                <w:color w:val="000000"/>
                <w:sz w:val="20"/>
              </w:rPr>
            </w:pPr>
            <w:r>
              <w:rPr>
                <w:color w:val="000000"/>
                <w:sz w:val="20"/>
              </w:rPr>
            </w:r>
          </w:p>
        </w:tc>
        <w:tc>
          <w:tcPr>
            <w:tcW w:w="1170" w:type="dxa"/>
            <w:tcBorders>
              <w:start w:val="single" w:sz="4" w:space="0" w:color="000000"/>
            </w:tcBorders>
          </w:tcPr>
          <w:p>
            <w:pPr>
              <w:pStyle w:val="Normal"/>
              <w:snapToGrid w:val="false"/>
              <w:jc w:val="end"/>
              <w:rPr>
                <w:color w:val="000000"/>
                <w:sz w:val="20"/>
              </w:rPr>
            </w:pPr>
            <w:r>
              <w:rPr>
                <w:color w:val="000000"/>
                <w:sz w:val="20"/>
              </w:rPr>
            </w:r>
          </w:p>
        </w:tc>
        <w:tc>
          <w:tcPr>
            <w:tcW w:w="1890" w:type="dxa"/>
            <w:tcBorders>
              <w:end w:val="single" w:sz="4" w:space="0" w:color="000000"/>
            </w:tcBorders>
          </w:tcPr>
          <w:p>
            <w:pPr>
              <w:pStyle w:val="Normal"/>
              <w:snapToGrid w:val="false"/>
              <w:jc w:val="end"/>
              <w:rPr>
                <w:color w:val="000000"/>
                <w:sz w:val="20"/>
              </w:rPr>
            </w:pPr>
            <w:r>
              <w:rPr>
                <w:color w:val="000000"/>
                <w:sz w:val="20"/>
              </w:rPr>
            </w:r>
          </w:p>
        </w:tc>
        <w:tc>
          <w:tcPr>
            <w:tcW w:w="1170" w:type="dxa"/>
            <w:tcBorders/>
          </w:tcPr>
          <w:p>
            <w:pPr>
              <w:pStyle w:val="Normal"/>
              <w:snapToGrid w:val="false"/>
              <w:jc w:val="end"/>
              <w:rPr>
                <w:color w:val="000000"/>
                <w:sz w:val="20"/>
              </w:rPr>
            </w:pPr>
            <w:r>
              <w:rPr>
                <w:color w:val="000000"/>
                <w:sz w:val="20"/>
              </w:rPr>
            </w:r>
          </w:p>
        </w:tc>
        <w:tc>
          <w:tcPr>
            <w:tcW w:w="1980" w:type="dxa"/>
            <w:tcBorders>
              <w:end w:val="single" w:sz="4" w:space="0" w:color="000000"/>
            </w:tcBorders>
          </w:tcPr>
          <w:p>
            <w:pPr>
              <w:pStyle w:val="Normal"/>
              <w:snapToGrid w:val="false"/>
              <w:jc w:val="end"/>
              <w:rPr>
                <w:color w:val="000000"/>
                <w:sz w:val="20"/>
              </w:rPr>
            </w:pPr>
            <w:r>
              <w:rPr>
                <w:color w:val="000000"/>
                <w:sz w:val="20"/>
              </w:rPr>
            </w:r>
          </w:p>
        </w:tc>
      </w:tr>
      <w:tr>
        <w:trPr>
          <w:trHeight w:val="240" w:hRule="atLeast"/>
        </w:trPr>
        <w:tc>
          <w:tcPr>
            <w:tcW w:w="3510" w:type="dxa"/>
            <w:tcBorders>
              <w:start w:val="single" w:sz="4" w:space="0" w:color="000000"/>
            </w:tcBorders>
          </w:tcPr>
          <w:p>
            <w:pPr>
              <w:pStyle w:val="Normal"/>
              <w:rPr>
                <w:color w:val="000000"/>
                <w:sz w:val="20"/>
              </w:rPr>
            </w:pPr>
            <w:r>
              <w:rPr>
                <w:b/>
                <w:color w:val="000000"/>
                <w:sz w:val="20"/>
              </w:rPr>
              <w:t>Available Heat</w:t>
            </w:r>
          </w:p>
        </w:tc>
        <w:tc>
          <w:tcPr>
            <w:tcW w:w="1170" w:type="dxa"/>
            <w:tcBorders>
              <w:start w:val="single" w:sz="4" w:space="0" w:color="000000"/>
            </w:tcBorders>
          </w:tcPr>
          <w:p>
            <w:pPr>
              <w:pStyle w:val="Normal"/>
              <w:snapToGrid w:val="false"/>
              <w:jc w:val="end"/>
              <w:rPr>
                <w:color w:val="000000"/>
                <w:sz w:val="20"/>
              </w:rPr>
            </w:pPr>
            <w:r>
              <w:rPr>
                <w:color w:val="000000"/>
                <w:sz w:val="20"/>
              </w:rPr>
            </w:r>
          </w:p>
        </w:tc>
        <w:tc>
          <w:tcPr>
            <w:tcW w:w="1890" w:type="dxa"/>
            <w:tcBorders>
              <w:end w:val="single" w:sz="4" w:space="0" w:color="000000"/>
            </w:tcBorders>
          </w:tcPr>
          <w:p>
            <w:pPr>
              <w:pStyle w:val="Normal"/>
              <w:snapToGrid w:val="false"/>
              <w:jc w:val="end"/>
              <w:rPr>
                <w:color w:val="000000"/>
                <w:sz w:val="20"/>
              </w:rPr>
            </w:pPr>
            <w:r>
              <w:rPr>
                <w:color w:val="000000"/>
                <w:sz w:val="20"/>
              </w:rPr>
            </w:r>
          </w:p>
        </w:tc>
        <w:tc>
          <w:tcPr>
            <w:tcW w:w="1170" w:type="dxa"/>
            <w:tcBorders/>
          </w:tcPr>
          <w:p>
            <w:pPr>
              <w:pStyle w:val="Normal"/>
              <w:snapToGrid w:val="false"/>
              <w:jc w:val="end"/>
              <w:rPr>
                <w:color w:val="000000"/>
                <w:sz w:val="20"/>
              </w:rPr>
            </w:pPr>
            <w:r>
              <w:rPr>
                <w:color w:val="000000"/>
                <w:sz w:val="20"/>
              </w:rPr>
            </w:r>
          </w:p>
        </w:tc>
        <w:tc>
          <w:tcPr>
            <w:tcW w:w="1980" w:type="dxa"/>
            <w:tcBorders>
              <w:end w:val="single" w:sz="4" w:space="0" w:color="000000"/>
            </w:tcBorders>
          </w:tcPr>
          <w:p>
            <w:pPr>
              <w:pStyle w:val="Normal"/>
              <w:snapToGrid w:val="false"/>
              <w:jc w:val="end"/>
              <w:rPr>
                <w:color w:val="000000"/>
                <w:sz w:val="20"/>
              </w:rPr>
            </w:pPr>
            <w:r>
              <w:rPr>
                <w:color w:val="000000"/>
                <w:sz w:val="20"/>
              </w:rPr>
            </w:r>
          </w:p>
        </w:tc>
      </w:tr>
      <w:tr>
        <w:trPr>
          <w:trHeight w:val="240" w:hRule="atLeast"/>
        </w:trPr>
        <w:tc>
          <w:tcPr>
            <w:tcW w:w="3510" w:type="dxa"/>
            <w:tcBorders>
              <w:start w:val="single" w:sz="4" w:space="0" w:color="000000"/>
            </w:tcBorders>
          </w:tcPr>
          <w:p>
            <w:pPr>
              <w:pStyle w:val="Normal"/>
              <w:rPr>
                <w:color w:val="000000"/>
                <w:sz w:val="20"/>
              </w:rPr>
            </w:pPr>
            <w:r>
              <w:rPr>
                <w:rFonts w:eastAsia="Arial"/>
                <w:color w:val="000000"/>
                <w:sz w:val="20"/>
              </w:rPr>
              <w:t xml:space="preserve">  </w:t>
            </w:r>
            <w:r>
              <w:rPr>
                <w:color w:val="000000"/>
                <w:sz w:val="20"/>
              </w:rPr>
              <w:t>Exhaust Temperature</w:t>
            </w:r>
          </w:p>
        </w:tc>
        <w:tc>
          <w:tcPr>
            <w:tcW w:w="1170" w:type="dxa"/>
            <w:tcBorders>
              <w:start w:val="single" w:sz="4" w:space="0" w:color="000000"/>
            </w:tcBorders>
          </w:tcPr>
          <w:p>
            <w:pPr>
              <w:pStyle w:val="Normal"/>
              <w:jc w:val="end"/>
              <w:rPr>
                <w:color w:val="000000"/>
                <w:sz w:val="20"/>
              </w:rPr>
            </w:pPr>
            <w:r>
              <w:rPr>
                <w:color w:val="000000"/>
                <w:sz w:val="20"/>
              </w:rPr>
              <w:t xml:space="preserve">700-750 </w:t>
            </w:r>
          </w:p>
        </w:tc>
        <w:tc>
          <w:tcPr>
            <w:tcW w:w="1890" w:type="dxa"/>
            <w:tcBorders>
              <w:end w:val="single" w:sz="4" w:space="0" w:color="000000"/>
            </w:tcBorders>
          </w:tcPr>
          <w:p>
            <w:pPr>
              <w:pStyle w:val="Normal"/>
              <w:rPr>
                <w:color w:val="000000"/>
                <w:sz w:val="20"/>
              </w:rPr>
            </w:pPr>
            <w:r>
              <w:rPr>
                <w:color w:val="000000"/>
                <w:sz w:val="20"/>
              </w:rPr>
              <w:t>deg F</w:t>
            </w:r>
          </w:p>
        </w:tc>
        <w:tc>
          <w:tcPr>
            <w:tcW w:w="1170" w:type="dxa"/>
            <w:tcBorders/>
          </w:tcPr>
          <w:p>
            <w:pPr>
              <w:pStyle w:val="Normal"/>
              <w:jc w:val="end"/>
              <w:rPr>
                <w:color w:val="000000"/>
                <w:sz w:val="20"/>
              </w:rPr>
            </w:pPr>
            <w:r>
              <w:rPr>
                <w:color w:val="000000"/>
                <w:sz w:val="20"/>
              </w:rPr>
              <w:t>700-750</w:t>
            </w:r>
          </w:p>
        </w:tc>
        <w:tc>
          <w:tcPr>
            <w:tcW w:w="1980" w:type="dxa"/>
            <w:tcBorders>
              <w:end w:val="single" w:sz="4" w:space="0" w:color="000000"/>
            </w:tcBorders>
          </w:tcPr>
          <w:p>
            <w:pPr>
              <w:pStyle w:val="Normal"/>
              <w:rPr>
                <w:color w:val="000000"/>
                <w:sz w:val="20"/>
              </w:rPr>
            </w:pPr>
            <w:r>
              <w:rPr>
                <w:color w:val="000000"/>
                <w:sz w:val="20"/>
              </w:rPr>
              <w:t>deg F</w:t>
            </w:r>
          </w:p>
        </w:tc>
      </w:tr>
      <w:tr>
        <w:trPr>
          <w:trHeight w:val="240" w:hRule="atLeast"/>
        </w:trPr>
        <w:tc>
          <w:tcPr>
            <w:tcW w:w="3510" w:type="dxa"/>
            <w:tcBorders>
              <w:start w:val="single" w:sz="4" w:space="0" w:color="000000"/>
            </w:tcBorders>
          </w:tcPr>
          <w:p>
            <w:pPr>
              <w:pStyle w:val="Normal"/>
              <w:rPr>
                <w:color w:val="000000"/>
                <w:sz w:val="20"/>
              </w:rPr>
            </w:pPr>
            <w:r>
              <w:rPr>
                <w:rFonts w:eastAsia="Arial"/>
                <w:color w:val="000000"/>
                <w:sz w:val="20"/>
              </w:rPr>
              <w:t xml:space="preserve">  </w:t>
            </w:r>
            <w:r>
              <w:rPr>
                <w:color w:val="000000"/>
                <w:sz w:val="20"/>
              </w:rPr>
              <w:t>Exhaust Flowrate</w:t>
            </w:r>
          </w:p>
        </w:tc>
        <w:tc>
          <w:tcPr>
            <w:tcW w:w="1170" w:type="dxa"/>
            <w:tcBorders>
              <w:start w:val="single" w:sz="4" w:space="0" w:color="000000"/>
            </w:tcBorders>
          </w:tcPr>
          <w:p>
            <w:pPr>
              <w:pStyle w:val="Normal"/>
              <w:jc w:val="end"/>
              <w:rPr>
                <w:color w:val="000000"/>
                <w:sz w:val="20"/>
              </w:rPr>
            </w:pPr>
            <w:r>
              <w:rPr>
                <w:color w:val="000000"/>
                <w:sz w:val="20"/>
              </w:rPr>
              <w:t xml:space="preserve">5120 </w:t>
            </w:r>
          </w:p>
        </w:tc>
        <w:tc>
          <w:tcPr>
            <w:tcW w:w="1890" w:type="dxa"/>
            <w:tcBorders>
              <w:end w:val="single" w:sz="4" w:space="0" w:color="000000"/>
            </w:tcBorders>
          </w:tcPr>
          <w:p>
            <w:pPr>
              <w:pStyle w:val="Normal"/>
              <w:rPr>
                <w:color w:val="000000"/>
                <w:sz w:val="20"/>
              </w:rPr>
            </w:pPr>
            <w:r>
              <w:rPr>
                <w:color w:val="000000"/>
                <w:sz w:val="20"/>
              </w:rPr>
              <w:t>Scfm</w:t>
            </w:r>
          </w:p>
        </w:tc>
        <w:tc>
          <w:tcPr>
            <w:tcW w:w="1170" w:type="dxa"/>
            <w:tcBorders/>
          </w:tcPr>
          <w:p>
            <w:pPr>
              <w:pStyle w:val="Normal"/>
              <w:jc w:val="end"/>
              <w:rPr>
                <w:color w:val="000000"/>
                <w:sz w:val="20"/>
              </w:rPr>
            </w:pPr>
            <w:r>
              <w:rPr>
                <w:color w:val="000000"/>
                <w:sz w:val="20"/>
              </w:rPr>
              <w:t>5810</w:t>
            </w:r>
          </w:p>
        </w:tc>
        <w:tc>
          <w:tcPr>
            <w:tcW w:w="1980" w:type="dxa"/>
            <w:tcBorders>
              <w:end w:val="single" w:sz="4" w:space="0" w:color="000000"/>
            </w:tcBorders>
          </w:tcPr>
          <w:p>
            <w:pPr>
              <w:pStyle w:val="Normal"/>
              <w:rPr>
                <w:color w:val="000000"/>
                <w:sz w:val="20"/>
              </w:rPr>
            </w:pPr>
            <w:r>
              <w:rPr>
                <w:color w:val="000000"/>
                <w:sz w:val="20"/>
              </w:rPr>
              <w:t>scfm</w:t>
            </w:r>
          </w:p>
        </w:tc>
      </w:tr>
      <w:tr>
        <w:trPr>
          <w:trHeight w:val="240" w:hRule="atLeast"/>
        </w:trPr>
        <w:tc>
          <w:tcPr>
            <w:tcW w:w="3510" w:type="dxa"/>
            <w:tcBorders>
              <w:start w:val="single" w:sz="4" w:space="0" w:color="000000"/>
            </w:tcBorders>
          </w:tcPr>
          <w:p>
            <w:pPr>
              <w:pStyle w:val="Normal"/>
              <w:rPr>
                <w:color w:val="000000"/>
                <w:sz w:val="20"/>
              </w:rPr>
            </w:pPr>
            <w:r>
              <w:rPr>
                <w:rFonts w:eastAsia="Arial"/>
                <w:color w:val="000000"/>
                <w:sz w:val="20"/>
              </w:rPr>
              <w:t xml:space="preserve">  </w:t>
            </w:r>
            <w:r>
              <w:rPr>
                <w:color w:val="000000"/>
                <w:sz w:val="20"/>
              </w:rPr>
              <w:t>Exhaust Absolute Humidity</w:t>
            </w:r>
          </w:p>
        </w:tc>
        <w:tc>
          <w:tcPr>
            <w:tcW w:w="1170" w:type="dxa"/>
            <w:tcBorders>
              <w:start w:val="single" w:sz="4" w:space="0" w:color="000000"/>
            </w:tcBorders>
          </w:tcPr>
          <w:p>
            <w:pPr>
              <w:pStyle w:val="Normal"/>
              <w:jc w:val="end"/>
              <w:rPr>
                <w:color w:val="000000"/>
                <w:sz w:val="20"/>
              </w:rPr>
            </w:pPr>
            <w:r>
              <w:rPr>
                <w:color w:val="000000"/>
                <w:sz w:val="20"/>
              </w:rPr>
              <w:t>~20%</w:t>
            </w:r>
          </w:p>
        </w:tc>
        <w:tc>
          <w:tcPr>
            <w:tcW w:w="1890" w:type="dxa"/>
            <w:tcBorders>
              <w:end w:val="single" w:sz="4" w:space="0" w:color="000000"/>
            </w:tcBorders>
          </w:tcPr>
          <w:p>
            <w:pPr>
              <w:pStyle w:val="Normal"/>
              <w:rPr>
                <w:color w:val="000000"/>
                <w:sz w:val="20"/>
              </w:rPr>
            </w:pPr>
            <w:r>
              <w:rPr>
                <w:color w:val="000000"/>
                <w:sz w:val="20"/>
              </w:rPr>
              <w:t>by volume</w:t>
            </w:r>
          </w:p>
        </w:tc>
        <w:tc>
          <w:tcPr>
            <w:tcW w:w="1170" w:type="dxa"/>
            <w:tcBorders/>
          </w:tcPr>
          <w:p>
            <w:pPr>
              <w:pStyle w:val="Normal"/>
              <w:jc w:val="end"/>
              <w:rPr>
                <w:color w:val="000000"/>
                <w:sz w:val="20"/>
              </w:rPr>
            </w:pPr>
            <w:r>
              <w:rPr>
                <w:color w:val="000000"/>
                <w:sz w:val="20"/>
              </w:rPr>
              <w:t>~20%</w:t>
            </w:r>
          </w:p>
        </w:tc>
        <w:tc>
          <w:tcPr>
            <w:tcW w:w="1980" w:type="dxa"/>
            <w:tcBorders>
              <w:end w:val="single" w:sz="4" w:space="0" w:color="000000"/>
            </w:tcBorders>
          </w:tcPr>
          <w:p>
            <w:pPr>
              <w:pStyle w:val="Normal"/>
              <w:rPr>
                <w:color w:val="000000"/>
                <w:sz w:val="20"/>
              </w:rPr>
            </w:pPr>
            <w:r>
              <w:rPr>
                <w:color w:val="000000"/>
                <w:sz w:val="20"/>
              </w:rPr>
              <w:t>by volume</w:t>
            </w:r>
          </w:p>
        </w:tc>
      </w:tr>
      <w:tr>
        <w:trPr>
          <w:trHeight w:val="240" w:hRule="atLeast"/>
        </w:trPr>
        <w:tc>
          <w:tcPr>
            <w:tcW w:w="3510" w:type="dxa"/>
            <w:tcBorders>
              <w:start w:val="single" w:sz="4" w:space="0" w:color="000000"/>
            </w:tcBorders>
          </w:tcPr>
          <w:p>
            <w:pPr>
              <w:pStyle w:val="Normal"/>
              <w:snapToGrid w:val="false"/>
              <w:jc w:val="end"/>
              <w:rPr>
                <w:color w:val="000000"/>
                <w:sz w:val="20"/>
              </w:rPr>
            </w:pPr>
            <w:r>
              <w:rPr>
                <w:color w:val="000000"/>
                <w:sz w:val="20"/>
              </w:rPr>
            </w:r>
          </w:p>
        </w:tc>
        <w:tc>
          <w:tcPr>
            <w:tcW w:w="1170" w:type="dxa"/>
            <w:tcBorders>
              <w:start w:val="single" w:sz="4" w:space="0" w:color="000000"/>
            </w:tcBorders>
          </w:tcPr>
          <w:p>
            <w:pPr>
              <w:pStyle w:val="Normal"/>
              <w:snapToGrid w:val="false"/>
              <w:jc w:val="end"/>
              <w:rPr>
                <w:color w:val="000000"/>
                <w:sz w:val="20"/>
              </w:rPr>
            </w:pPr>
            <w:r>
              <w:rPr>
                <w:color w:val="000000"/>
                <w:sz w:val="20"/>
              </w:rPr>
            </w:r>
          </w:p>
        </w:tc>
        <w:tc>
          <w:tcPr>
            <w:tcW w:w="1890" w:type="dxa"/>
            <w:tcBorders>
              <w:end w:val="single" w:sz="4" w:space="0" w:color="000000"/>
            </w:tcBorders>
          </w:tcPr>
          <w:p>
            <w:pPr>
              <w:pStyle w:val="Normal"/>
              <w:snapToGrid w:val="false"/>
              <w:jc w:val="end"/>
              <w:rPr>
                <w:color w:val="000000"/>
                <w:sz w:val="20"/>
              </w:rPr>
            </w:pPr>
            <w:r>
              <w:rPr>
                <w:color w:val="000000"/>
                <w:sz w:val="20"/>
              </w:rPr>
            </w:r>
          </w:p>
        </w:tc>
        <w:tc>
          <w:tcPr>
            <w:tcW w:w="1170" w:type="dxa"/>
            <w:tcBorders/>
          </w:tcPr>
          <w:p>
            <w:pPr>
              <w:pStyle w:val="Normal"/>
              <w:snapToGrid w:val="false"/>
              <w:jc w:val="end"/>
              <w:rPr>
                <w:color w:val="000000"/>
                <w:sz w:val="20"/>
              </w:rPr>
            </w:pPr>
            <w:r>
              <w:rPr>
                <w:color w:val="000000"/>
                <w:sz w:val="20"/>
              </w:rPr>
            </w:r>
          </w:p>
        </w:tc>
        <w:tc>
          <w:tcPr>
            <w:tcW w:w="1980" w:type="dxa"/>
            <w:tcBorders>
              <w:end w:val="single" w:sz="4" w:space="0" w:color="000000"/>
            </w:tcBorders>
          </w:tcPr>
          <w:p>
            <w:pPr>
              <w:pStyle w:val="Normal"/>
              <w:snapToGrid w:val="false"/>
              <w:jc w:val="end"/>
              <w:rPr>
                <w:color w:val="000000"/>
                <w:sz w:val="20"/>
              </w:rPr>
            </w:pPr>
            <w:r>
              <w:rPr>
                <w:color w:val="000000"/>
                <w:sz w:val="20"/>
              </w:rPr>
            </w:r>
          </w:p>
        </w:tc>
      </w:tr>
      <w:tr>
        <w:trPr>
          <w:trHeight w:val="240" w:hRule="atLeast"/>
        </w:trPr>
        <w:tc>
          <w:tcPr>
            <w:tcW w:w="3510" w:type="dxa"/>
            <w:tcBorders>
              <w:start w:val="single" w:sz="4" w:space="0" w:color="000000"/>
            </w:tcBorders>
          </w:tcPr>
          <w:p>
            <w:pPr>
              <w:pStyle w:val="Normal"/>
              <w:rPr>
                <w:b/>
                <w:color w:val="000000"/>
                <w:sz w:val="20"/>
              </w:rPr>
            </w:pPr>
            <w:r>
              <w:rPr>
                <w:b/>
                <w:color w:val="000000"/>
                <w:sz w:val="20"/>
              </w:rPr>
              <w:t>Noise</w:t>
            </w:r>
          </w:p>
        </w:tc>
        <w:tc>
          <w:tcPr>
            <w:tcW w:w="1170" w:type="dxa"/>
            <w:tcBorders>
              <w:start w:val="single" w:sz="4" w:space="0" w:color="000000"/>
            </w:tcBorders>
          </w:tcPr>
          <w:p>
            <w:pPr>
              <w:pStyle w:val="Normal"/>
              <w:jc w:val="end"/>
              <w:rPr>
                <w:color w:val="000000"/>
                <w:sz w:val="20"/>
              </w:rPr>
            </w:pPr>
            <w:r>
              <w:rPr>
                <w:color w:val="000000"/>
                <w:sz w:val="20"/>
              </w:rPr>
              <w:t>60</w:t>
            </w:r>
          </w:p>
        </w:tc>
        <w:tc>
          <w:tcPr>
            <w:tcW w:w="1890" w:type="dxa"/>
            <w:tcBorders>
              <w:end w:val="single" w:sz="4" w:space="0" w:color="000000"/>
            </w:tcBorders>
          </w:tcPr>
          <w:p>
            <w:pPr>
              <w:pStyle w:val="Normal"/>
              <w:rPr>
                <w:color w:val="000000"/>
                <w:sz w:val="20"/>
              </w:rPr>
            </w:pPr>
            <w:r>
              <w:rPr>
                <w:color w:val="000000"/>
                <w:sz w:val="20"/>
              </w:rPr>
              <w:t>dB(A) at 100 feet</w:t>
            </w:r>
          </w:p>
        </w:tc>
        <w:tc>
          <w:tcPr>
            <w:tcW w:w="1170" w:type="dxa"/>
            <w:tcBorders/>
          </w:tcPr>
          <w:p>
            <w:pPr>
              <w:pStyle w:val="Normal"/>
              <w:jc w:val="end"/>
              <w:rPr>
                <w:color w:val="000000"/>
                <w:sz w:val="20"/>
              </w:rPr>
            </w:pPr>
            <w:r>
              <w:rPr>
                <w:color w:val="000000"/>
                <w:sz w:val="20"/>
              </w:rPr>
              <w:t>60</w:t>
            </w:r>
          </w:p>
        </w:tc>
        <w:tc>
          <w:tcPr>
            <w:tcW w:w="1980" w:type="dxa"/>
            <w:tcBorders>
              <w:end w:val="single" w:sz="4" w:space="0" w:color="000000"/>
            </w:tcBorders>
          </w:tcPr>
          <w:p>
            <w:pPr>
              <w:pStyle w:val="Normal"/>
              <w:rPr>
                <w:color w:val="000000"/>
                <w:sz w:val="20"/>
              </w:rPr>
            </w:pPr>
            <w:r>
              <w:rPr>
                <w:color w:val="000000"/>
                <w:sz w:val="20"/>
              </w:rPr>
              <w:t>dB(A) at 100 feet</w:t>
            </w:r>
          </w:p>
        </w:tc>
      </w:tr>
      <w:tr>
        <w:trPr>
          <w:trHeight w:val="240" w:hRule="atLeast"/>
        </w:trPr>
        <w:tc>
          <w:tcPr>
            <w:tcW w:w="3510" w:type="dxa"/>
            <w:tcBorders>
              <w:start w:val="single" w:sz="4" w:space="0" w:color="000000"/>
            </w:tcBorders>
          </w:tcPr>
          <w:p>
            <w:pPr>
              <w:pStyle w:val="Normal"/>
              <w:snapToGrid w:val="false"/>
              <w:jc w:val="end"/>
              <w:rPr>
                <w:color w:val="000000"/>
                <w:sz w:val="20"/>
              </w:rPr>
            </w:pPr>
            <w:r>
              <w:rPr>
                <w:color w:val="000000"/>
                <w:sz w:val="20"/>
              </w:rPr>
            </w:r>
          </w:p>
        </w:tc>
        <w:tc>
          <w:tcPr>
            <w:tcW w:w="1170" w:type="dxa"/>
            <w:tcBorders>
              <w:start w:val="single" w:sz="4" w:space="0" w:color="000000"/>
            </w:tcBorders>
          </w:tcPr>
          <w:p>
            <w:pPr>
              <w:pStyle w:val="Normal"/>
              <w:snapToGrid w:val="false"/>
              <w:jc w:val="end"/>
              <w:rPr>
                <w:color w:val="000000"/>
                <w:sz w:val="20"/>
              </w:rPr>
            </w:pPr>
            <w:r>
              <w:rPr>
                <w:color w:val="000000"/>
                <w:sz w:val="20"/>
              </w:rPr>
            </w:r>
          </w:p>
        </w:tc>
        <w:tc>
          <w:tcPr>
            <w:tcW w:w="1890" w:type="dxa"/>
            <w:tcBorders>
              <w:end w:val="single" w:sz="4" w:space="0" w:color="000000"/>
            </w:tcBorders>
          </w:tcPr>
          <w:p>
            <w:pPr>
              <w:pStyle w:val="Normal"/>
              <w:snapToGrid w:val="false"/>
              <w:jc w:val="end"/>
              <w:rPr>
                <w:color w:val="000000"/>
                <w:sz w:val="20"/>
              </w:rPr>
            </w:pPr>
            <w:r>
              <w:rPr>
                <w:color w:val="000000"/>
                <w:sz w:val="20"/>
              </w:rPr>
            </w:r>
          </w:p>
        </w:tc>
        <w:tc>
          <w:tcPr>
            <w:tcW w:w="1170" w:type="dxa"/>
            <w:tcBorders/>
          </w:tcPr>
          <w:p>
            <w:pPr>
              <w:pStyle w:val="Normal"/>
              <w:snapToGrid w:val="false"/>
              <w:jc w:val="end"/>
              <w:rPr>
                <w:color w:val="000000"/>
                <w:sz w:val="20"/>
              </w:rPr>
            </w:pPr>
            <w:r>
              <w:rPr>
                <w:color w:val="000000"/>
                <w:sz w:val="20"/>
              </w:rPr>
            </w:r>
          </w:p>
        </w:tc>
        <w:tc>
          <w:tcPr>
            <w:tcW w:w="1980" w:type="dxa"/>
            <w:tcBorders>
              <w:end w:val="single" w:sz="4" w:space="0" w:color="000000"/>
            </w:tcBorders>
          </w:tcPr>
          <w:p>
            <w:pPr>
              <w:pStyle w:val="Normal"/>
              <w:snapToGrid w:val="false"/>
              <w:jc w:val="end"/>
              <w:rPr>
                <w:color w:val="000000"/>
                <w:sz w:val="20"/>
              </w:rPr>
            </w:pPr>
            <w:r>
              <w:rPr>
                <w:color w:val="000000"/>
                <w:sz w:val="20"/>
              </w:rPr>
            </w:r>
          </w:p>
        </w:tc>
      </w:tr>
      <w:tr>
        <w:trPr>
          <w:trHeight w:val="240" w:hRule="atLeast"/>
        </w:trPr>
        <w:tc>
          <w:tcPr>
            <w:tcW w:w="3510" w:type="dxa"/>
            <w:tcBorders>
              <w:start w:val="single" w:sz="4" w:space="0" w:color="000000"/>
            </w:tcBorders>
          </w:tcPr>
          <w:p>
            <w:pPr>
              <w:pStyle w:val="Normal"/>
              <w:rPr>
                <w:color w:val="000000"/>
                <w:sz w:val="20"/>
              </w:rPr>
            </w:pPr>
            <w:r>
              <w:rPr>
                <w:b/>
                <w:color w:val="000000"/>
                <w:sz w:val="20"/>
              </w:rPr>
              <w:t>Emissions</w:t>
            </w:r>
          </w:p>
        </w:tc>
        <w:tc>
          <w:tcPr>
            <w:tcW w:w="1170" w:type="dxa"/>
            <w:tcBorders>
              <w:start w:val="single" w:sz="4" w:space="0" w:color="000000"/>
            </w:tcBorders>
          </w:tcPr>
          <w:p>
            <w:pPr>
              <w:pStyle w:val="Normal"/>
              <w:snapToGrid w:val="false"/>
              <w:jc w:val="end"/>
              <w:rPr>
                <w:color w:val="000000"/>
                <w:sz w:val="20"/>
              </w:rPr>
            </w:pPr>
            <w:r>
              <w:rPr>
                <w:color w:val="000000"/>
                <w:sz w:val="20"/>
              </w:rPr>
            </w:r>
          </w:p>
        </w:tc>
        <w:tc>
          <w:tcPr>
            <w:tcW w:w="1890" w:type="dxa"/>
            <w:tcBorders>
              <w:end w:val="single" w:sz="4" w:space="0" w:color="000000"/>
            </w:tcBorders>
          </w:tcPr>
          <w:p>
            <w:pPr>
              <w:pStyle w:val="Normal"/>
              <w:snapToGrid w:val="false"/>
              <w:jc w:val="end"/>
              <w:rPr>
                <w:color w:val="000000"/>
                <w:sz w:val="20"/>
              </w:rPr>
            </w:pPr>
            <w:r>
              <w:rPr>
                <w:color w:val="000000"/>
                <w:sz w:val="20"/>
              </w:rPr>
            </w:r>
          </w:p>
        </w:tc>
        <w:tc>
          <w:tcPr>
            <w:tcW w:w="1170" w:type="dxa"/>
            <w:tcBorders/>
          </w:tcPr>
          <w:p>
            <w:pPr>
              <w:pStyle w:val="Normal"/>
              <w:snapToGrid w:val="false"/>
              <w:jc w:val="end"/>
              <w:rPr>
                <w:color w:val="000000"/>
                <w:sz w:val="20"/>
              </w:rPr>
            </w:pPr>
            <w:r>
              <w:rPr>
                <w:color w:val="000000"/>
                <w:sz w:val="20"/>
              </w:rPr>
            </w:r>
          </w:p>
        </w:tc>
        <w:tc>
          <w:tcPr>
            <w:tcW w:w="1980" w:type="dxa"/>
            <w:tcBorders>
              <w:end w:val="single" w:sz="4" w:space="0" w:color="000000"/>
            </w:tcBorders>
          </w:tcPr>
          <w:p>
            <w:pPr>
              <w:pStyle w:val="Normal"/>
              <w:snapToGrid w:val="false"/>
              <w:jc w:val="end"/>
              <w:rPr>
                <w:color w:val="000000"/>
                <w:sz w:val="20"/>
              </w:rPr>
            </w:pPr>
            <w:r>
              <w:rPr>
                <w:color w:val="000000"/>
                <w:sz w:val="20"/>
              </w:rPr>
            </w:r>
          </w:p>
        </w:tc>
      </w:tr>
      <w:tr>
        <w:trPr>
          <w:trHeight w:val="240" w:hRule="atLeast"/>
        </w:trPr>
        <w:tc>
          <w:tcPr>
            <w:tcW w:w="3510" w:type="dxa"/>
            <w:tcBorders>
              <w:start w:val="single" w:sz="4" w:space="0" w:color="000000"/>
            </w:tcBorders>
          </w:tcPr>
          <w:p>
            <w:pPr>
              <w:pStyle w:val="Normal"/>
              <w:rPr/>
            </w:pPr>
            <w:r>
              <w:rPr>
                <w:rFonts w:eastAsia="Arial"/>
                <w:color w:val="000000"/>
                <w:sz w:val="20"/>
              </w:rPr>
              <w:t xml:space="preserve">  </w:t>
            </w:r>
            <w:r>
              <w:rPr>
                <w:color w:val="000000"/>
                <w:sz w:val="20"/>
              </w:rPr>
              <w:t>CO</w:t>
            </w:r>
            <w:r>
              <w:rPr>
                <w:color w:val="000000"/>
                <w:sz w:val="20"/>
                <w:vertAlign w:val="subscript"/>
              </w:rPr>
              <w:t xml:space="preserve">2 </w:t>
            </w:r>
            <w:r>
              <w:rPr>
                <w:color w:val="000000"/>
                <w:sz w:val="20"/>
              </w:rPr>
              <w:t>(from typical natural gas)</w:t>
            </w:r>
          </w:p>
        </w:tc>
        <w:tc>
          <w:tcPr>
            <w:tcW w:w="1170" w:type="dxa"/>
            <w:tcBorders>
              <w:start w:val="single" w:sz="4" w:space="0" w:color="000000"/>
            </w:tcBorders>
          </w:tcPr>
          <w:p>
            <w:pPr>
              <w:pStyle w:val="Normal"/>
              <w:jc w:val="end"/>
              <w:rPr>
                <w:color w:val="000000"/>
                <w:sz w:val="20"/>
              </w:rPr>
            </w:pPr>
            <w:r>
              <w:rPr>
                <w:color w:val="000000"/>
                <w:sz w:val="20"/>
              </w:rPr>
              <w:t>1,760</w:t>
            </w:r>
          </w:p>
        </w:tc>
        <w:tc>
          <w:tcPr>
            <w:tcW w:w="1890" w:type="dxa"/>
            <w:tcBorders>
              <w:end w:val="single" w:sz="4" w:space="0" w:color="000000"/>
            </w:tcBorders>
          </w:tcPr>
          <w:p>
            <w:pPr>
              <w:pStyle w:val="Normal"/>
              <w:rPr>
                <w:color w:val="000000"/>
                <w:sz w:val="20"/>
              </w:rPr>
            </w:pPr>
            <w:r>
              <w:rPr>
                <w:color w:val="000000"/>
                <w:sz w:val="20"/>
              </w:rPr>
              <w:t>lbs/h</w:t>
            </w:r>
          </w:p>
        </w:tc>
        <w:tc>
          <w:tcPr>
            <w:tcW w:w="1170" w:type="dxa"/>
            <w:tcBorders/>
          </w:tcPr>
          <w:p>
            <w:pPr>
              <w:pStyle w:val="Normal"/>
              <w:jc w:val="end"/>
              <w:rPr>
                <w:color w:val="000000"/>
                <w:sz w:val="20"/>
              </w:rPr>
            </w:pPr>
            <w:r>
              <w:rPr>
                <w:color w:val="000000"/>
                <w:sz w:val="20"/>
              </w:rPr>
              <w:t>2,055</w:t>
            </w:r>
          </w:p>
        </w:tc>
        <w:tc>
          <w:tcPr>
            <w:tcW w:w="1980" w:type="dxa"/>
            <w:tcBorders>
              <w:end w:val="single" w:sz="4" w:space="0" w:color="000000"/>
            </w:tcBorders>
          </w:tcPr>
          <w:p>
            <w:pPr>
              <w:pStyle w:val="Normal"/>
              <w:rPr>
                <w:color w:val="000000"/>
                <w:sz w:val="20"/>
              </w:rPr>
            </w:pPr>
            <w:r>
              <w:rPr>
                <w:color w:val="000000"/>
                <w:sz w:val="20"/>
              </w:rPr>
              <w:t>lbs/h</w:t>
            </w:r>
          </w:p>
        </w:tc>
      </w:tr>
      <w:tr>
        <w:trPr>
          <w:trHeight w:val="240" w:hRule="atLeast"/>
        </w:trPr>
        <w:tc>
          <w:tcPr>
            <w:tcW w:w="3510" w:type="dxa"/>
            <w:tcBorders>
              <w:start w:val="single" w:sz="4" w:space="0" w:color="000000"/>
            </w:tcBorders>
          </w:tcPr>
          <w:p>
            <w:pPr>
              <w:pStyle w:val="Normal"/>
              <w:rPr>
                <w:color w:val="000000"/>
                <w:sz w:val="20"/>
              </w:rPr>
            </w:pPr>
            <w:r>
              <w:rPr>
                <w:rFonts w:eastAsia="Arial"/>
                <w:color w:val="000000"/>
                <w:sz w:val="20"/>
              </w:rPr>
              <w:t xml:space="preserve">  </w:t>
            </w:r>
            <w:r>
              <w:rPr>
                <w:color w:val="000000"/>
                <w:sz w:val="20"/>
              </w:rPr>
              <w:t>NOx</w:t>
            </w:r>
          </w:p>
        </w:tc>
        <w:tc>
          <w:tcPr>
            <w:tcW w:w="1170" w:type="dxa"/>
            <w:tcBorders>
              <w:start w:val="single" w:sz="4" w:space="0" w:color="000000"/>
            </w:tcBorders>
          </w:tcPr>
          <w:p>
            <w:pPr>
              <w:pStyle w:val="Normal"/>
              <w:jc w:val="end"/>
              <w:rPr>
                <w:color w:val="000000"/>
                <w:sz w:val="20"/>
              </w:rPr>
            </w:pPr>
            <w:r>
              <w:rPr>
                <w:color w:val="000000"/>
                <w:sz w:val="20"/>
              </w:rPr>
              <w:t>&lt; 0.1</w:t>
            </w:r>
          </w:p>
        </w:tc>
        <w:tc>
          <w:tcPr>
            <w:tcW w:w="1890" w:type="dxa"/>
            <w:tcBorders>
              <w:end w:val="single" w:sz="4" w:space="0" w:color="000000"/>
            </w:tcBorders>
          </w:tcPr>
          <w:p>
            <w:pPr>
              <w:pStyle w:val="Normal"/>
              <w:rPr>
                <w:color w:val="000000"/>
                <w:sz w:val="20"/>
              </w:rPr>
            </w:pPr>
            <w:r>
              <w:rPr>
                <w:color w:val="000000"/>
                <w:sz w:val="20"/>
              </w:rPr>
              <w:t>ppmv</w:t>
            </w:r>
          </w:p>
        </w:tc>
        <w:tc>
          <w:tcPr>
            <w:tcW w:w="1170" w:type="dxa"/>
            <w:tcBorders/>
          </w:tcPr>
          <w:p>
            <w:pPr>
              <w:pStyle w:val="Normal"/>
              <w:jc w:val="end"/>
              <w:rPr>
                <w:color w:val="000000"/>
                <w:sz w:val="20"/>
              </w:rPr>
            </w:pPr>
            <w:r>
              <w:rPr>
                <w:color w:val="000000"/>
                <w:sz w:val="20"/>
              </w:rPr>
              <w:t>&lt; 0.1</w:t>
            </w:r>
          </w:p>
        </w:tc>
        <w:tc>
          <w:tcPr>
            <w:tcW w:w="1980" w:type="dxa"/>
            <w:tcBorders>
              <w:end w:val="single" w:sz="4" w:space="0" w:color="000000"/>
            </w:tcBorders>
          </w:tcPr>
          <w:p>
            <w:pPr>
              <w:pStyle w:val="Normal"/>
              <w:rPr>
                <w:color w:val="000000"/>
                <w:sz w:val="20"/>
              </w:rPr>
            </w:pPr>
            <w:r>
              <w:rPr>
                <w:color w:val="000000"/>
                <w:sz w:val="20"/>
              </w:rPr>
              <w:t>ppmv</w:t>
            </w:r>
          </w:p>
        </w:tc>
      </w:tr>
      <w:tr>
        <w:trPr>
          <w:trHeight w:val="240" w:hRule="atLeast"/>
        </w:trPr>
        <w:tc>
          <w:tcPr>
            <w:tcW w:w="3510" w:type="dxa"/>
            <w:tcBorders>
              <w:start w:val="single" w:sz="4" w:space="0" w:color="000000"/>
            </w:tcBorders>
          </w:tcPr>
          <w:p>
            <w:pPr>
              <w:pStyle w:val="Normal"/>
              <w:rPr>
                <w:color w:val="000000"/>
                <w:sz w:val="20"/>
              </w:rPr>
            </w:pPr>
            <w:r>
              <w:rPr>
                <w:rFonts w:eastAsia="Arial"/>
                <w:color w:val="000000"/>
                <w:sz w:val="20"/>
              </w:rPr>
              <w:t xml:space="preserve">  </w:t>
            </w:r>
            <w:r>
              <w:rPr>
                <w:color w:val="000000"/>
                <w:sz w:val="20"/>
              </w:rPr>
              <w:t>SOx</w:t>
            </w:r>
          </w:p>
        </w:tc>
        <w:tc>
          <w:tcPr>
            <w:tcW w:w="1170" w:type="dxa"/>
            <w:tcBorders>
              <w:start w:val="single" w:sz="4" w:space="0" w:color="000000"/>
            </w:tcBorders>
          </w:tcPr>
          <w:p>
            <w:pPr>
              <w:pStyle w:val="Normal"/>
              <w:jc w:val="end"/>
              <w:rPr>
                <w:color w:val="000000"/>
                <w:sz w:val="20"/>
              </w:rPr>
            </w:pPr>
            <w:r>
              <w:rPr>
                <w:color w:val="000000"/>
                <w:sz w:val="20"/>
              </w:rPr>
              <w:t>&lt;0.01</w:t>
            </w:r>
          </w:p>
        </w:tc>
        <w:tc>
          <w:tcPr>
            <w:tcW w:w="1890" w:type="dxa"/>
            <w:tcBorders>
              <w:end w:val="single" w:sz="4" w:space="0" w:color="000000"/>
            </w:tcBorders>
          </w:tcPr>
          <w:p>
            <w:pPr>
              <w:pStyle w:val="Normal"/>
              <w:rPr>
                <w:color w:val="000000"/>
                <w:sz w:val="20"/>
              </w:rPr>
            </w:pPr>
            <w:r>
              <w:rPr>
                <w:color w:val="000000"/>
                <w:sz w:val="20"/>
              </w:rPr>
              <w:t>ppmv</w:t>
            </w:r>
          </w:p>
        </w:tc>
        <w:tc>
          <w:tcPr>
            <w:tcW w:w="1170" w:type="dxa"/>
            <w:tcBorders/>
          </w:tcPr>
          <w:p>
            <w:pPr>
              <w:pStyle w:val="Normal"/>
              <w:jc w:val="end"/>
              <w:rPr>
                <w:color w:val="000000"/>
                <w:sz w:val="20"/>
              </w:rPr>
            </w:pPr>
            <w:r>
              <w:rPr>
                <w:color w:val="000000"/>
                <w:sz w:val="20"/>
              </w:rPr>
              <w:t>&lt;0.01</w:t>
            </w:r>
          </w:p>
        </w:tc>
        <w:tc>
          <w:tcPr>
            <w:tcW w:w="1980" w:type="dxa"/>
            <w:tcBorders>
              <w:end w:val="single" w:sz="4" w:space="0" w:color="000000"/>
            </w:tcBorders>
          </w:tcPr>
          <w:p>
            <w:pPr>
              <w:pStyle w:val="Normal"/>
              <w:rPr>
                <w:color w:val="000000"/>
                <w:sz w:val="20"/>
              </w:rPr>
            </w:pPr>
            <w:r>
              <w:rPr>
                <w:color w:val="000000"/>
                <w:sz w:val="20"/>
              </w:rPr>
              <w:t>ppmv</w:t>
            </w:r>
          </w:p>
        </w:tc>
      </w:tr>
      <w:tr>
        <w:trPr>
          <w:trHeight w:val="240" w:hRule="atLeast"/>
        </w:trPr>
        <w:tc>
          <w:tcPr>
            <w:tcW w:w="3510" w:type="dxa"/>
            <w:tcBorders>
              <w:start w:val="single" w:sz="4" w:space="0" w:color="000000"/>
            </w:tcBorders>
          </w:tcPr>
          <w:p>
            <w:pPr>
              <w:pStyle w:val="Normal"/>
              <w:rPr>
                <w:color w:val="000000"/>
                <w:sz w:val="20"/>
              </w:rPr>
            </w:pPr>
            <w:r>
              <w:rPr>
                <w:rFonts w:eastAsia="Arial"/>
                <w:color w:val="000000"/>
                <w:sz w:val="20"/>
              </w:rPr>
              <w:t xml:space="preserve">  </w:t>
            </w:r>
            <w:r>
              <w:rPr>
                <w:color w:val="000000"/>
                <w:sz w:val="20"/>
              </w:rPr>
              <w:t>CO</w:t>
            </w:r>
          </w:p>
        </w:tc>
        <w:tc>
          <w:tcPr>
            <w:tcW w:w="1170" w:type="dxa"/>
            <w:tcBorders>
              <w:start w:val="single" w:sz="4" w:space="0" w:color="000000"/>
            </w:tcBorders>
          </w:tcPr>
          <w:p>
            <w:pPr>
              <w:pStyle w:val="Normal"/>
              <w:jc w:val="end"/>
              <w:rPr>
                <w:color w:val="000000"/>
                <w:sz w:val="20"/>
              </w:rPr>
            </w:pPr>
            <w:r>
              <w:rPr>
                <w:color w:val="000000"/>
                <w:sz w:val="20"/>
              </w:rPr>
              <w:t>&lt;10</w:t>
            </w:r>
          </w:p>
        </w:tc>
        <w:tc>
          <w:tcPr>
            <w:tcW w:w="1890" w:type="dxa"/>
            <w:tcBorders>
              <w:end w:val="single" w:sz="4" w:space="0" w:color="000000"/>
            </w:tcBorders>
          </w:tcPr>
          <w:p>
            <w:pPr>
              <w:pStyle w:val="Normal"/>
              <w:rPr>
                <w:color w:val="000000"/>
                <w:sz w:val="20"/>
              </w:rPr>
            </w:pPr>
            <w:r>
              <w:rPr>
                <w:color w:val="000000"/>
                <w:sz w:val="20"/>
              </w:rPr>
              <w:t>ppmv</w:t>
            </w:r>
          </w:p>
        </w:tc>
        <w:tc>
          <w:tcPr>
            <w:tcW w:w="1170" w:type="dxa"/>
            <w:tcBorders/>
          </w:tcPr>
          <w:p>
            <w:pPr>
              <w:pStyle w:val="Normal"/>
              <w:jc w:val="end"/>
              <w:rPr>
                <w:color w:val="000000"/>
                <w:sz w:val="20"/>
              </w:rPr>
            </w:pPr>
            <w:r>
              <w:rPr>
                <w:color w:val="000000"/>
                <w:sz w:val="20"/>
              </w:rPr>
              <w:t>&lt;10</w:t>
            </w:r>
          </w:p>
        </w:tc>
        <w:tc>
          <w:tcPr>
            <w:tcW w:w="1980" w:type="dxa"/>
            <w:tcBorders>
              <w:end w:val="single" w:sz="4" w:space="0" w:color="000000"/>
            </w:tcBorders>
          </w:tcPr>
          <w:p>
            <w:pPr>
              <w:pStyle w:val="Normal"/>
              <w:rPr>
                <w:color w:val="000000"/>
                <w:sz w:val="20"/>
              </w:rPr>
            </w:pPr>
            <w:r>
              <w:rPr>
                <w:color w:val="000000"/>
                <w:sz w:val="20"/>
              </w:rPr>
              <w:t>ppmv</w:t>
            </w:r>
          </w:p>
        </w:tc>
      </w:tr>
      <w:tr>
        <w:trPr>
          <w:trHeight w:val="240" w:hRule="atLeast"/>
        </w:trPr>
        <w:tc>
          <w:tcPr>
            <w:tcW w:w="3510" w:type="dxa"/>
            <w:tcBorders>
              <w:start w:val="single" w:sz="4" w:space="0" w:color="000000"/>
            </w:tcBorders>
          </w:tcPr>
          <w:p>
            <w:pPr>
              <w:pStyle w:val="Normal"/>
              <w:rPr>
                <w:color w:val="000000"/>
                <w:sz w:val="20"/>
              </w:rPr>
            </w:pPr>
            <w:r>
              <w:rPr>
                <w:rFonts w:eastAsia="Arial"/>
                <w:color w:val="000000"/>
                <w:sz w:val="20"/>
              </w:rPr>
              <w:t xml:space="preserve">  </w:t>
            </w:r>
            <w:r>
              <w:rPr>
                <w:color w:val="000000"/>
                <w:sz w:val="20"/>
              </w:rPr>
              <w:t>VOC</w:t>
            </w:r>
          </w:p>
        </w:tc>
        <w:tc>
          <w:tcPr>
            <w:tcW w:w="1170" w:type="dxa"/>
            <w:tcBorders>
              <w:start w:val="single" w:sz="4" w:space="0" w:color="000000"/>
            </w:tcBorders>
          </w:tcPr>
          <w:p>
            <w:pPr>
              <w:pStyle w:val="Normal"/>
              <w:jc w:val="end"/>
              <w:rPr>
                <w:color w:val="000000"/>
                <w:sz w:val="20"/>
              </w:rPr>
            </w:pPr>
            <w:r>
              <w:rPr>
                <w:color w:val="000000"/>
                <w:sz w:val="20"/>
              </w:rPr>
              <w:t>&lt;10</w:t>
            </w:r>
          </w:p>
        </w:tc>
        <w:tc>
          <w:tcPr>
            <w:tcW w:w="1890" w:type="dxa"/>
            <w:tcBorders>
              <w:end w:val="single" w:sz="4" w:space="0" w:color="000000"/>
            </w:tcBorders>
          </w:tcPr>
          <w:p>
            <w:pPr>
              <w:pStyle w:val="Normal"/>
              <w:rPr>
                <w:color w:val="000000"/>
                <w:sz w:val="20"/>
              </w:rPr>
            </w:pPr>
            <w:r>
              <w:rPr>
                <w:color w:val="000000"/>
                <w:sz w:val="20"/>
              </w:rPr>
              <w:t>ppmv</w:t>
            </w:r>
          </w:p>
        </w:tc>
        <w:tc>
          <w:tcPr>
            <w:tcW w:w="1170" w:type="dxa"/>
            <w:tcBorders/>
          </w:tcPr>
          <w:p>
            <w:pPr>
              <w:pStyle w:val="Normal"/>
              <w:jc w:val="end"/>
              <w:rPr>
                <w:color w:val="000000"/>
                <w:sz w:val="20"/>
              </w:rPr>
            </w:pPr>
            <w:r>
              <w:rPr>
                <w:color w:val="000000"/>
                <w:sz w:val="20"/>
              </w:rPr>
              <w:t>&lt;10</w:t>
            </w:r>
          </w:p>
        </w:tc>
        <w:tc>
          <w:tcPr>
            <w:tcW w:w="1980" w:type="dxa"/>
            <w:tcBorders>
              <w:end w:val="single" w:sz="4" w:space="0" w:color="000000"/>
            </w:tcBorders>
          </w:tcPr>
          <w:p>
            <w:pPr>
              <w:pStyle w:val="Normal"/>
              <w:rPr>
                <w:color w:val="000000"/>
                <w:sz w:val="20"/>
              </w:rPr>
            </w:pPr>
            <w:r>
              <w:rPr>
                <w:color w:val="000000"/>
                <w:sz w:val="20"/>
              </w:rPr>
              <w:t>ppmv</w:t>
            </w:r>
          </w:p>
        </w:tc>
      </w:tr>
      <w:tr>
        <w:trPr>
          <w:trHeight w:val="240" w:hRule="atLeast"/>
        </w:trPr>
        <w:tc>
          <w:tcPr>
            <w:tcW w:w="3510" w:type="dxa"/>
            <w:tcBorders>
              <w:start w:val="single" w:sz="4" w:space="0" w:color="000000"/>
              <w:bottom w:val="single" w:sz="4" w:space="0" w:color="000000"/>
            </w:tcBorders>
          </w:tcPr>
          <w:p>
            <w:pPr>
              <w:pStyle w:val="Normal"/>
              <w:rPr>
                <w:color w:val="000000"/>
                <w:sz w:val="20"/>
              </w:rPr>
            </w:pPr>
            <w:r>
              <w:rPr>
                <w:rFonts w:eastAsia="Arial"/>
                <w:color w:val="000000"/>
                <w:sz w:val="20"/>
              </w:rPr>
              <w:t xml:space="preserve">  </w:t>
            </w:r>
            <w:r>
              <w:rPr>
                <w:color w:val="000000"/>
                <w:sz w:val="20"/>
              </w:rPr>
              <w:t>Particulates</w:t>
            </w:r>
          </w:p>
        </w:tc>
        <w:tc>
          <w:tcPr>
            <w:tcW w:w="1170" w:type="dxa"/>
            <w:tcBorders>
              <w:start w:val="single" w:sz="4" w:space="0" w:color="000000"/>
              <w:bottom w:val="single" w:sz="4" w:space="0" w:color="000000"/>
            </w:tcBorders>
          </w:tcPr>
          <w:p>
            <w:pPr>
              <w:pStyle w:val="Normal"/>
              <w:jc w:val="end"/>
              <w:rPr>
                <w:color w:val="000000"/>
                <w:sz w:val="20"/>
              </w:rPr>
            </w:pPr>
            <w:r>
              <w:rPr>
                <w:color w:val="000000"/>
                <w:sz w:val="20"/>
              </w:rPr>
              <w:t>&lt;5</w:t>
            </w:r>
          </w:p>
        </w:tc>
        <w:tc>
          <w:tcPr>
            <w:tcW w:w="1890" w:type="dxa"/>
            <w:tcBorders>
              <w:bottom w:val="single" w:sz="4" w:space="0" w:color="000000"/>
              <w:end w:val="single" w:sz="4" w:space="0" w:color="000000"/>
            </w:tcBorders>
          </w:tcPr>
          <w:p>
            <w:pPr>
              <w:pStyle w:val="Normal"/>
              <w:rPr>
                <w:color w:val="000000"/>
                <w:sz w:val="20"/>
              </w:rPr>
            </w:pPr>
            <w:r>
              <w:rPr>
                <w:color w:val="000000"/>
                <w:sz w:val="20"/>
              </w:rPr>
              <w:t>mg/m</w:t>
            </w:r>
            <w:r>
              <w:rPr>
                <w:color w:val="000000"/>
                <w:sz w:val="20"/>
                <w:vertAlign w:val="superscript"/>
              </w:rPr>
              <w:t>3</w:t>
            </w:r>
          </w:p>
        </w:tc>
        <w:tc>
          <w:tcPr>
            <w:tcW w:w="1170" w:type="dxa"/>
            <w:tcBorders>
              <w:bottom w:val="single" w:sz="4" w:space="0" w:color="000000"/>
            </w:tcBorders>
          </w:tcPr>
          <w:p>
            <w:pPr>
              <w:pStyle w:val="Normal"/>
              <w:jc w:val="end"/>
              <w:rPr>
                <w:color w:val="000000"/>
                <w:sz w:val="20"/>
              </w:rPr>
            </w:pPr>
            <w:r>
              <w:rPr>
                <w:color w:val="000000"/>
                <w:sz w:val="20"/>
              </w:rPr>
              <w:t>&lt;5</w:t>
            </w:r>
          </w:p>
        </w:tc>
        <w:tc>
          <w:tcPr>
            <w:tcW w:w="1980" w:type="dxa"/>
            <w:tcBorders>
              <w:bottom w:val="single" w:sz="4" w:space="0" w:color="000000"/>
              <w:end w:val="single" w:sz="4" w:space="0" w:color="000000"/>
            </w:tcBorders>
          </w:tcPr>
          <w:p>
            <w:pPr>
              <w:pStyle w:val="Normal"/>
              <w:rPr>
                <w:color w:val="000000"/>
                <w:sz w:val="20"/>
              </w:rPr>
            </w:pPr>
            <w:r>
              <w:rPr>
                <w:color w:val="000000"/>
                <w:sz w:val="20"/>
              </w:rPr>
              <w:t>mg/m</w:t>
            </w:r>
            <w:r>
              <w:rPr>
                <w:color w:val="000000"/>
                <w:sz w:val="20"/>
                <w:vertAlign w:val="superscript"/>
              </w:rPr>
              <w:t>3</w:t>
            </w:r>
          </w:p>
        </w:tc>
      </w:tr>
    </w:tbl>
    <w:p>
      <w:pPr>
        <w:pStyle w:val="Normal"/>
        <w:jc w:val="both"/>
        <w:rPr>
          <w:b/>
        </w:rPr>
      </w:pPr>
      <w:r>
        <w:rPr>
          <w:b/>
        </w:rPr>
      </w:r>
    </w:p>
    <w:p>
      <w:pPr>
        <w:pStyle w:val="BodyText"/>
        <w:rPr/>
      </w:pPr>
      <w:r>
        <w:rPr/>
        <w:t>The electrical system in the plant will take DC power from two Fuel Cell Stack Modules and deliver the plant’s rated AC power output to the grid while supplying all of the plant auxiliaries.  The reactive component (up to 3300 KVA) will be regulated by voltage or a specified VAr setting.   The electrical system will be designed to support plant operation at 50% of rated power output with one Fuel Cell Stack Module (or inverter, or transformer) out of service.  Operation in this mode will require that the defective Fuel Cell Stack Module (or the stack module associated with a defective inverter or transformer) be isolated from the fuel system.</w:t>
      </w:r>
    </w:p>
    <w:p>
      <w:pPr>
        <w:pStyle w:val="Normal"/>
        <w:jc w:val="both"/>
        <w:rPr/>
      </w:pPr>
      <w:r>
        <w:rPr/>
      </w:r>
    </w:p>
    <w:p>
      <w:pPr>
        <w:pStyle w:val="Normal"/>
        <w:jc w:val="both"/>
        <w:rPr/>
      </w:pPr>
      <w:r>
        <w:rPr/>
        <w:t>The electrical system is designed so the plant can carry its own auxiliary load when isolated from the grid.  The electrical system configuration is designed to accommodate the optional additional electrical equipment necessary for providing UPS quality power.</w:t>
      </w:r>
    </w:p>
    <w:p>
      <w:pPr>
        <w:pStyle w:val="Normal"/>
        <w:jc w:val="both"/>
        <w:rPr/>
      </w:pPr>
      <w:r>
        <w:rPr/>
      </w:r>
    </w:p>
    <w:p>
      <w:pPr>
        <w:pStyle w:val="Normal"/>
        <w:jc w:val="both"/>
        <w:rPr/>
      </w:pPr>
      <w:r>
        <w:rPr/>
        <w:t xml:space="preserve">Startup power for the plant will normally be obtained from the electric grid.  Black start capability can be provided by bringing a portable diesel generator to the site and connecting it to the 480 VAC Motor Control Center (MCC) to supply the plant’s auxiliary load.  </w:t>
      </w:r>
    </w:p>
    <w:p>
      <w:pPr>
        <w:pStyle w:val="Normal"/>
        <w:jc w:val="both"/>
        <w:rPr/>
      </w:pPr>
      <w:r>
        <w:rPr/>
      </w:r>
    </w:p>
    <w:p>
      <w:pPr>
        <w:pStyle w:val="Normal"/>
        <w:jc w:val="both"/>
        <w:rPr/>
      </w:pPr>
      <w:r>
        <w:rPr/>
        <w:t>A battery-supported uninterruptible power supply (UPS) will be provided to maintain power for the control system and other critical components during electric grid voltage dips or outages.</w:t>
      </w:r>
    </w:p>
    <w:p>
      <w:pPr>
        <w:pStyle w:val="Normal"/>
        <w:jc w:val="both"/>
        <w:rPr>
          <w:sz w:val="22"/>
        </w:rPr>
      </w:pPr>
      <w:r>
        <w:rPr>
          <w:sz w:val="22"/>
        </w:rPr>
      </w:r>
    </w:p>
    <w:p>
      <w:pPr>
        <w:pStyle w:val="Normal"/>
        <w:tabs>
          <w:tab w:val="clear" w:pos="720"/>
          <w:tab w:val="left" w:pos="0" w:leader="none"/>
        </w:tabs>
        <w:jc w:val="both"/>
        <w:rPr/>
      </w:pPr>
      <w:r>
        <w:rPr/>
        <w:t>Additional electrical equipment that may be necessary at additional cost to the plant buyer include the main step-up transformer and high voltage switchgear. A place has been left for this equipment in the electrical equipment skid and in the plot plan layout.  For facilities with multiple units, it is also possible, if desired, to aggregate power at the 480V level and step up with a equipment outside the unit layout.</w:t>
      </w:r>
    </w:p>
    <w:p>
      <w:pPr>
        <w:pStyle w:val="Normal"/>
        <w:jc w:val="both"/>
        <w:rPr>
          <w:b/>
        </w:rPr>
      </w:pPr>
      <w:r>
        <w:rPr>
          <w:b/>
        </w:rPr>
      </w:r>
    </w:p>
    <w:p>
      <w:pPr>
        <w:pStyle w:val="Normal"/>
        <w:jc w:val="both"/>
        <w:rPr>
          <w:b/>
        </w:rPr>
      </w:pPr>
      <w:r>
        <w:rPr>
          <w:b/>
        </w:rPr>
        <w:t>2.2 General Operability Characteristics</w:t>
      </w:r>
    </w:p>
    <w:p>
      <w:pPr>
        <w:pStyle w:val="Normal"/>
        <w:jc w:val="both"/>
        <w:rPr/>
      </w:pPr>
      <w:r>
        <w:rPr/>
      </w:r>
    </w:p>
    <w:p>
      <w:pPr>
        <w:pStyle w:val="Normal"/>
        <w:jc w:val="both"/>
        <w:rPr/>
      </w:pPr>
      <w:r>
        <w:rPr>
          <w:b/>
        </w:rPr>
        <w:t>2.2.1 Plant Control:</w:t>
      </w:r>
      <w:r>
        <w:rPr/>
        <w:t xml:space="preserve"> </w:t>
      </w:r>
    </w:p>
    <w:p>
      <w:pPr>
        <w:pStyle w:val="Normal"/>
        <w:jc w:val="both"/>
        <w:rPr/>
      </w:pPr>
      <w:r>
        <w:rPr/>
        <w:t>The plant is designed for unattended operation with local and remote dispatching/control.  The system has a local control console which is limited to displaying operating mode (see below) and providing inputs for selecting desired power output level or mode transition.  Additional data and controls are provided through local computer hookup or remote computer monitor stations (with security restrictions in each case).</w:t>
      </w:r>
    </w:p>
    <w:p>
      <w:pPr>
        <w:pStyle w:val="Normal"/>
        <w:jc w:val="both"/>
        <w:rPr/>
      </w:pPr>
      <w:r>
        <w:rPr/>
      </w:r>
    </w:p>
    <w:p>
      <w:pPr>
        <w:pStyle w:val="Normal"/>
        <w:jc w:val="both"/>
        <w:rPr>
          <w:b/>
        </w:rPr>
      </w:pPr>
      <w:r>
        <w:rPr>
          <w:b/>
        </w:rPr>
        <w:t>2.2.2  Operating Modes:</w:t>
      </w:r>
    </w:p>
    <w:p>
      <w:pPr>
        <w:pStyle w:val="Normal"/>
        <w:jc w:val="both"/>
        <w:rPr>
          <w:sz w:val="20"/>
        </w:rPr>
      </w:pPr>
      <w:r>
        <w:rPr>
          <w:sz w:val="20"/>
        </w:rPr>
        <w:t>Out of Service:</w:t>
        <w:tab/>
        <w:tab/>
        <w:tab/>
        <w:t>Plant is at ambient temperature.</w:t>
      </w:r>
    </w:p>
    <w:p>
      <w:pPr>
        <w:pStyle w:val="Normal"/>
        <w:jc w:val="both"/>
        <w:rPr>
          <w:sz w:val="20"/>
        </w:rPr>
      </w:pPr>
      <w:r>
        <w:rPr>
          <w:sz w:val="20"/>
        </w:rPr>
        <w:t>Heatup:</w:t>
        <w:tab/>
        <w:tab/>
        <w:tab/>
        <w:tab/>
        <w:t>Plant is heating up to operating temperature</w:t>
      </w:r>
    </w:p>
    <w:p>
      <w:pPr>
        <w:pStyle w:val="Normal"/>
        <w:jc w:val="both"/>
        <w:rPr>
          <w:sz w:val="20"/>
        </w:rPr>
      </w:pPr>
      <w:r>
        <w:rPr>
          <w:sz w:val="20"/>
        </w:rPr>
        <w:t>Hot Standby:</w:t>
        <w:tab/>
        <w:tab/>
        <w:tab/>
        <w:t>Plant is at operating temperature, but not on load</w:t>
      </w:r>
    </w:p>
    <w:p>
      <w:pPr>
        <w:pStyle w:val="Normal"/>
        <w:jc w:val="both"/>
        <w:rPr>
          <w:sz w:val="20"/>
        </w:rPr>
      </w:pPr>
      <w:r>
        <w:rPr>
          <w:sz w:val="20"/>
        </w:rPr>
        <w:t>Cool Down:</w:t>
        <w:tab/>
        <w:tab/>
        <w:tab/>
        <w:t>Plant is slowly being cooled to ambient temperature</w:t>
      </w:r>
    </w:p>
    <w:p>
      <w:pPr>
        <w:pStyle w:val="Normal"/>
        <w:jc w:val="both"/>
        <w:rPr>
          <w:sz w:val="20"/>
        </w:rPr>
      </w:pPr>
      <w:r>
        <w:rPr>
          <w:sz w:val="20"/>
        </w:rPr>
        <w:t>Power Output Dispatch Mode:</w:t>
        <w:tab/>
        <w:t>Plant is delivering power to a set point kW demand</w:t>
      </w:r>
    </w:p>
    <w:p>
      <w:pPr>
        <w:pStyle w:val="Normal"/>
        <w:jc w:val="both"/>
        <w:rPr>
          <w:sz w:val="20"/>
        </w:rPr>
      </w:pPr>
      <w:r>
        <w:rPr>
          <w:sz w:val="20"/>
        </w:rPr>
        <w:t>Power Output Regulation Mode:</w:t>
        <w:tab/>
        <w:t>Plant is meeting changing load of isolated load island</w:t>
      </w:r>
    </w:p>
    <w:p>
      <w:pPr>
        <w:pStyle w:val="Normal"/>
        <w:jc w:val="both"/>
        <w:rPr>
          <w:sz w:val="20"/>
        </w:rPr>
      </w:pPr>
      <w:r>
        <w:rPr>
          <w:sz w:val="20"/>
        </w:rPr>
        <w:t>Manual Mode:</w:t>
        <w:tab/>
        <w:tab/>
        <w:tab/>
        <w:t>Operated with manual override of all or portions of control system</w:t>
      </w:r>
    </w:p>
    <w:p>
      <w:pPr>
        <w:pStyle w:val="Normal"/>
        <w:jc w:val="both"/>
        <w:rPr>
          <w:sz w:val="20"/>
        </w:rPr>
      </w:pPr>
      <w:r>
        <w:rPr>
          <w:sz w:val="20"/>
        </w:rPr>
        <w:t>Tripped and Isolated:</w:t>
        <w:tab/>
        <w:tab/>
        <w:t>Plant is tripped, with slow nitrogen purge</w:t>
      </w:r>
    </w:p>
    <w:p>
      <w:pPr>
        <w:pStyle w:val="Normal"/>
        <w:jc w:val="both"/>
        <w:rPr/>
      </w:pPr>
      <w:r>
        <w:rPr/>
      </w:r>
    </w:p>
    <w:p>
      <w:pPr>
        <w:pStyle w:val="Normal"/>
        <w:jc w:val="both"/>
        <w:rPr/>
      </w:pPr>
      <w:r>
        <w:rPr/>
        <w:t>Power Output Regulation Mode is not applicable to grid-connected units, and cannot be done at the normal plant efficiencies.  The baseline plant is not capable of black start from out of service, however this can be done by using a generator to power plant auxiliaries during heatup.</w:t>
      </w:r>
    </w:p>
    <w:p>
      <w:pPr>
        <w:pStyle w:val="Normal"/>
        <w:jc w:val="both"/>
        <w:rPr/>
      </w:pPr>
      <w:r>
        <w:rPr/>
      </w:r>
    </w:p>
    <w:p>
      <w:pPr>
        <w:pStyle w:val="Normal"/>
        <w:jc w:val="both"/>
        <w:rPr/>
      </w:pPr>
      <w:r>
        <w:rPr/>
      </w:r>
    </w:p>
    <w:p>
      <w:pPr>
        <w:pStyle w:val="Normal"/>
        <w:jc w:val="both"/>
        <w:rPr>
          <w:b/>
        </w:rPr>
      </w:pPr>
      <w:r>
        <w:rPr>
          <w:b/>
        </w:rPr>
        <w:t>2.2.3 Operating Mode Transition Times and Ramp Rate:</w:t>
      </w:r>
    </w:p>
    <w:p>
      <w:pPr>
        <w:pStyle w:val="Normal"/>
        <w:jc w:val="both"/>
        <w:rPr>
          <w:b/>
          <w:sz w:val="20"/>
        </w:rPr>
      </w:pPr>
      <w:r>
        <w:rPr>
          <w:b/>
          <w:sz w:val="20"/>
        </w:rPr>
      </w:r>
    </w:p>
    <w:p>
      <w:pPr>
        <w:pStyle w:val="Normal"/>
        <w:jc w:val="both"/>
        <w:rPr>
          <w:sz w:val="20"/>
        </w:rPr>
      </w:pPr>
      <w:r>
        <w:rPr>
          <w:sz w:val="20"/>
        </w:rPr>
        <w:t>Out of Service to Hot Standby :</w:t>
        <w:tab/>
        <w:t>70 hours or less for initial units</w:t>
      </w:r>
    </w:p>
    <w:p>
      <w:pPr>
        <w:pStyle w:val="Normal"/>
        <w:ind w:firstLine="720" w:start="2160" w:end="0"/>
        <w:jc w:val="both"/>
        <w:rPr>
          <w:sz w:val="20"/>
        </w:rPr>
      </w:pPr>
      <w:r>
        <w:rPr>
          <w:sz w:val="20"/>
        </w:rPr>
        <w:t>20 hours commercial unit target</w:t>
      </w:r>
    </w:p>
    <w:p>
      <w:pPr>
        <w:pStyle w:val="Normal"/>
        <w:jc w:val="both"/>
        <w:rPr>
          <w:sz w:val="20"/>
        </w:rPr>
      </w:pPr>
      <w:r>
        <w:rPr>
          <w:sz w:val="20"/>
        </w:rPr>
        <w:t>Hot Standby to Rated Load:</w:t>
        <w:tab/>
        <w:t>10 minutes or less</w:t>
      </w:r>
    </w:p>
    <w:p>
      <w:pPr>
        <w:pStyle w:val="Normal"/>
        <w:jc w:val="both"/>
        <w:rPr>
          <w:sz w:val="20"/>
        </w:rPr>
      </w:pPr>
      <w:r>
        <w:rPr>
          <w:sz w:val="20"/>
        </w:rPr>
      </w:r>
    </w:p>
    <w:p>
      <w:pPr>
        <w:pStyle w:val="Normal"/>
        <w:jc w:val="both"/>
        <w:rPr>
          <w:sz w:val="20"/>
        </w:rPr>
      </w:pPr>
      <w:r>
        <w:rPr>
          <w:sz w:val="20"/>
        </w:rPr>
      </w:r>
    </w:p>
    <w:p>
      <w:pPr>
        <w:pStyle w:val="Normal"/>
        <w:jc w:val="both"/>
        <w:rPr>
          <w:b/>
        </w:rPr>
      </w:pPr>
      <w:r>
        <w:rPr>
          <w:b/>
        </w:rPr>
        <w:t>2.3 Plant and Subsystem Life</w:t>
      </w:r>
    </w:p>
    <w:p>
      <w:pPr>
        <w:pStyle w:val="Normal"/>
        <w:jc w:val="both"/>
        <w:rPr/>
      </w:pPr>
      <w:r>
        <w:rPr/>
        <w:t xml:space="preserve">The design life target for the overall plant is 30 years, assuming appropriate maintenance and component replacement.  The fuel cell stacks in the 4-stack modules have a replacement schedule of 25,000 hours for early production units, with a target of at least 40,000 hours for mature units (year 2004 or later).  “Hours” here refers to hours of operation at a stack temperature above 900 </w:t>
      </w:r>
      <w:r>
        <w:rPr>
          <w:vertAlign w:val="superscript"/>
        </w:rPr>
        <w:t>o</w:t>
      </w:r>
      <w:r>
        <w:rPr/>
        <w:t>F.  During operation of these stacks over their lifetimes, their performance gradually decreases.  This results in a drop of power output and efficiency of about 10% over the replacement schedule period.  Operation of the stacks beyond this time may be possible, but at restricted power output and efficiency.</w:t>
      </w:r>
    </w:p>
    <w:p>
      <w:pPr>
        <w:pStyle w:val="Normal"/>
        <w:jc w:val="both"/>
        <w:rPr/>
      </w:pPr>
      <w:r>
        <w:rPr/>
      </w:r>
    </w:p>
    <w:p>
      <w:pPr>
        <w:pStyle w:val="Normal"/>
        <w:jc w:val="both"/>
        <w:rPr/>
      </w:pPr>
      <w:r>
        <w:rPr/>
        <w:t>The 2MW and 2.4MW market entry powerplants are designed so that advanced mature stacks (2004 timeframe) can be installed and used to their full capacity without a resize of the BOP components.  This means that the equipment in the process skid is sized to provide the flows (e.g. fuel and steam) needed to support operation of Mature stacks at 3000kW net AC.  The electrical skid is also capable of supporting power conversion to 3000kW net AC.</w:t>
      </w:r>
    </w:p>
    <w:p>
      <w:pPr>
        <w:pStyle w:val="Normal"/>
        <w:jc w:val="both"/>
        <w:rPr>
          <w:b/>
        </w:rPr>
      </w:pPr>
      <w:r>
        <w:rPr>
          <w:b/>
        </w:rPr>
      </w:r>
    </w:p>
    <w:p>
      <w:pPr>
        <w:pStyle w:val="Normal"/>
        <w:jc w:val="both"/>
        <w:rPr>
          <w:b/>
        </w:rPr>
      </w:pPr>
      <w:r>
        <w:rPr>
          <w:b/>
        </w:rPr>
        <w:t>2.4 Spare Parts and Operation and Maintenance Requirements</w:t>
      </w:r>
    </w:p>
    <w:p>
      <w:pPr>
        <w:pStyle w:val="BodyText"/>
        <w:rPr/>
      </w:pPr>
      <w:r>
        <w:rPr/>
        <w:t>Initial spare parts will consist of items which are critical to the plant operations and not easily obtained in the event of failure.  The exact spare parts list will be developed during the procurement phase, based on the stocking patterns of the selected vendors.  Spares are likely to include water pumps, fuses, critical instruments, vsd motor drive components, control system cards, critical inverter components, etc.  For an installation consisting of multiple units, even transformers may be considered as a spare item, depending on the stocking pattern of the supplier.  Initial spare parts are likely to cost about $50,000 to $100,000 per plant.  For a multiple-unit facility with, for example, 10 powerplants spare parts could possibly be limited to $200,000 to $300,000 for the whole facility.</w:t>
      </w:r>
    </w:p>
    <w:p>
      <w:pPr>
        <w:pStyle w:val="BodyText"/>
        <w:rPr/>
      </w:pPr>
      <w:r>
        <w:rPr/>
      </w:r>
    </w:p>
    <w:p>
      <w:pPr>
        <w:pStyle w:val="BodyText"/>
        <w:rPr/>
      </w:pPr>
      <w:r>
        <w:rPr/>
        <w:t xml:space="preserve">The powerplants will require periodic replacement of the following equipment and consumables: </w:t>
      </w:r>
    </w:p>
    <w:p>
      <w:pPr>
        <w:pStyle w:val="Normal"/>
        <w:numPr>
          <w:ilvl w:val="0"/>
          <w:numId w:val="5"/>
        </w:numPr>
        <w:jc w:val="both"/>
        <w:rPr/>
      </w:pPr>
      <w:r>
        <w:rPr/>
        <w:t>Fuel cell stacks, as discussed above (also see section 2.5.1).</w:t>
      </w:r>
    </w:p>
    <w:p>
      <w:pPr>
        <w:pStyle w:val="Normal"/>
        <w:numPr>
          <w:ilvl w:val="0"/>
          <w:numId w:val="5"/>
        </w:numPr>
        <w:jc w:val="both"/>
        <w:rPr/>
      </w:pPr>
      <w:r>
        <w:rPr/>
        <w:t xml:space="preserve">Water treatment skid chemicals and components (salt, activated carbon, softener resin, RO membranes, and filters). </w:t>
      </w:r>
    </w:p>
    <w:p>
      <w:pPr>
        <w:pStyle w:val="Normal"/>
        <w:numPr>
          <w:ilvl w:val="0"/>
          <w:numId w:val="5"/>
        </w:numPr>
        <w:jc w:val="both"/>
        <w:rPr/>
      </w:pPr>
      <w:r>
        <w:rPr/>
        <w:t xml:space="preserve">Fuel cleanup Sulfur sorbent </w:t>
      </w:r>
    </w:p>
    <w:p>
      <w:pPr>
        <w:pStyle w:val="Normal"/>
        <w:numPr>
          <w:ilvl w:val="0"/>
          <w:numId w:val="5"/>
        </w:numPr>
        <w:jc w:val="both"/>
        <w:rPr/>
      </w:pPr>
      <w:r>
        <w:rPr/>
        <w:t>Bottled nitrogen (used as a blanket and/or purging gas for the system during startup, shutdown, and emergency shutdown of the plant) and bottled carbon dioxide.   For startup from cold, a small amount of hydrogen may be needed, but it need not be stored on site routinely.</w:t>
      </w:r>
    </w:p>
    <w:p>
      <w:pPr>
        <w:pStyle w:val="Normal"/>
        <w:numPr>
          <w:ilvl w:val="0"/>
          <w:numId w:val="5"/>
        </w:numPr>
        <w:jc w:val="both"/>
        <w:rPr/>
      </w:pPr>
      <w:r>
        <w:rPr/>
        <w:t>Catalysts (higher hydrocarbon preconversion and peak shaving de-oxidizer (if included)).</w:t>
      </w:r>
    </w:p>
    <w:p>
      <w:pPr>
        <w:pStyle w:val="Normal"/>
        <w:numPr>
          <w:ilvl w:val="0"/>
          <w:numId w:val="5"/>
        </w:numPr>
        <w:jc w:val="both"/>
        <w:rPr/>
      </w:pPr>
      <w:r>
        <w:rPr/>
        <w:t>Miscellaneous materials for normal operation and maintenance (O&amp;M) of the plant (including filters, lube oil, etc).</w:t>
      </w:r>
    </w:p>
    <w:p>
      <w:pPr>
        <w:pStyle w:val="Normal"/>
        <w:jc w:val="both"/>
        <w:rPr/>
      </w:pPr>
      <w:r>
        <w:rPr/>
      </w:r>
    </w:p>
    <w:p>
      <w:pPr>
        <w:pStyle w:val="Normal"/>
        <w:jc w:val="both"/>
        <w:rPr/>
      </w:pPr>
      <w:r>
        <w:rPr/>
        <w:t>The estimated initial quantities and service life of major catalysts and chemicals for the powerplant are listed in Table 2.</w:t>
      </w:r>
    </w:p>
    <w:p>
      <w:pPr>
        <w:pStyle w:val="Normal"/>
        <w:jc w:val="center"/>
        <w:rPr>
          <w:b/>
        </w:rPr>
      </w:pPr>
      <w:r>
        <w:rPr>
          <w:b/>
        </w:rPr>
        <w:t>Table 2</w:t>
      </w:r>
    </w:p>
    <w:p>
      <w:pPr>
        <w:pStyle w:val="Normal"/>
        <w:jc w:val="center"/>
        <w:rPr>
          <w:b/>
        </w:rPr>
      </w:pPr>
      <w:r>
        <w:rPr>
          <w:b/>
        </w:rPr>
        <w:t>Catalysts and Chemicals Summary</w:t>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ind w:start="720" w:end="0"/>
        <w:rPr>
          <w:color w:val="000000"/>
          <w:sz w:val="22"/>
        </w:rPr>
      </w:pPr>
      <w:r>
        <w:rPr>
          <w:color w:val="000000"/>
          <w:sz w:val="22"/>
        </w:rPr>
      </w:r>
    </w:p>
    <w:tbl>
      <w:tblPr>
        <w:tblW w:w="6894" w:type="dxa"/>
        <w:jc w:val="center"/>
        <w:tblInd w:w="0" w:type="dxa"/>
        <w:tblLayout w:type="fixed"/>
        <w:tblCellMar>
          <w:top w:w="0" w:type="dxa"/>
          <w:start w:w="108" w:type="dxa"/>
          <w:bottom w:w="0" w:type="dxa"/>
          <w:end w:w="108" w:type="dxa"/>
        </w:tblCellMar>
      </w:tblPr>
      <w:tblGrid>
        <w:gridCol w:w="2790"/>
        <w:gridCol w:w="1710"/>
        <w:gridCol w:w="2394"/>
      </w:tblGrid>
      <w:tr>
        <w:trPr/>
        <w:tc>
          <w:tcPr>
            <w:tcW w:w="279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jc w:val="center"/>
              <w:rPr>
                <w:color w:val="000000"/>
                <w:sz w:val="22"/>
              </w:rPr>
            </w:pPr>
            <w:r>
              <w:rPr>
                <w:color w:val="000000"/>
                <w:sz w:val="22"/>
              </w:rPr>
              <w:t>ITEM</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jc w:val="center"/>
              <w:rPr>
                <w:color w:val="000000"/>
                <w:sz w:val="22"/>
              </w:rPr>
            </w:pPr>
            <w:r>
              <w:rPr>
                <w:color w:val="000000"/>
                <w:sz w:val="22"/>
              </w:rPr>
              <w:t>INITIAL AMOUNT</w:t>
            </w:r>
          </w:p>
        </w:tc>
        <w:tc>
          <w:tcPr>
            <w:tcW w:w="2394"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jc w:val="center"/>
              <w:rPr>
                <w:color w:val="000000"/>
                <w:sz w:val="22"/>
              </w:rPr>
            </w:pPr>
            <w:r>
              <w:rPr>
                <w:color w:val="000000"/>
                <w:sz w:val="22"/>
              </w:rPr>
              <w:t>SERVICE LIFE</w:t>
            </w:r>
          </w:p>
        </w:tc>
      </w:tr>
      <w:tr>
        <w:trPr/>
        <w:tc>
          <w:tcPr>
            <w:tcW w:w="2790" w:type="dxa"/>
            <w:tcBorders>
              <w:top w:val="single" w:sz="6" w:space="0" w:color="000000"/>
              <w:start w:val="single" w:sz="6" w:space="0" w:color="000000"/>
              <w:bottom w:val="single" w:sz="6" w:space="0" w:color="000000"/>
              <w:end w:val="single" w:sz="6" w:space="0" w:color="000000"/>
            </w:tcBorders>
          </w:tcPr>
          <w:p>
            <w:pPr>
              <w:pStyle w:val="Heading3"/>
              <w:tabs>
                <w:tab w:val="clear" w:pos="720"/>
                <w:tab w:val="left" w:pos="1095" w:leader="none"/>
                <w:tab w:val="left" w:pos="2880" w:leader="none"/>
                <w:tab w:val="left" w:pos="3615" w:leader="none"/>
                <w:tab w:val="left" w:pos="4320" w:leader="none"/>
                <w:tab w:val="left" w:pos="5220" w:leader="none"/>
              </w:tabs>
              <w:spacing w:lineRule="exact" w:line="240"/>
              <w:ind w:hanging="0" w:start="0"/>
              <w:jc w:val="start"/>
              <w:rPr/>
            </w:pPr>
            <w:r>
              <w:rPr/>
              <w:t>Fuel Preparation</w:t>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rPr>
                <w:color w:val="000000"/>
                <w:sz w:val="22"/>
              </w:rPr>
            </w:pPr>
            <w:r>
              <w:rPr>
                <w:rFonts w:eastAsia="Arial"/>
                <w:color w:val="000000"/>
                <w:sz w:val="22"/>
              </w:rPr>
              <w:t xml:space="preserve">  </w:t>
            </w:r>
            <w:r>
              <w:rPr>
                <w:color w:val="000000"/>
                <w:sz w:val="22"/>
              </w:rPr>
              <w:t>Sulfur Sorbent</w:t>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rPr>
                <w:color w:val="000000"/>
                <w:sz w:val="22"/>
              </w:rPr>
            </w:pPr>
            <w:r>
              <w:rPr>
                <w:rFonts w:eastAsia="Arial"/>
                <w:color w:val="000000"/>
                <w:sz w:val="22"/>
              </w:rPr>
              <w:t xml:space="preserve">  </w:t>
            </w:r>
            <w:r>
              <w:rPr>
                <w:color w:val="000000"/>
                <w:sz w:val="22"/>
              </w:rPr>
              <w:t>Preconverter Catalyst</w:t>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rPr>
                <w:color w:val="000000"/>
                <w:sz w:val="22"/>
              </w:rPr>
            </w:pPr>
            <w:r>
              <w:rPr>
                <w:rFonts w:eastAsia="Arial"/>
                <w:color w:val="000000"/>
                <w:sz w:val="22"/>
              </w:rPr>
              <w:t xml:space="preserve">  </w:t>
            </w:r>
            <w:r>
              <w:rPr>
                <w:color w:val="000000"/>
                <w:sz w:val="22"/>
              </w:rPr>
              <w:t xml:space="preserve">De-Oxidizer Catalyst </w:t>
            </w:r>
            <w:r>
              <w:rPr>
                <w:color w:val="000000"/>
                <w:sz w:val="22"/>
                <w:vertAlign w:val="superscript"/>
              </w:rPr>
              <w:t>(1)</w:t>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rPr>
                <w:color w:val="000000"/>
                <w:sz w:val="22"/>
              </w:rPr>
            </w:pPr>
            <w:r>
              <w:rPr>
                <w:color w:val="000000"/>
                <w:sz w:val="22"/>
              </w:rPr>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1095" w:leader="none"/>
                <w:tab w:val="left" w:pos="2880" w:leader="none"/>
                <w:tab w:val="left" w:pos="3615" w:leader="none"/>
                <w:tab w:val="left" w:pos="4320" w:leader="none"/>
                <w:tab w:val="left" w:pos="5220" w:leader="none"/>
              </w:tabs>
              <w:snapToGrid w:val="false"/>
              <w:spacing w:lineRule="exact" w:line="240"/>
              <w:jc w:val="end"/>
              <w:rPr>
                <w:color w:val="000000"/>
                <w:sz w:val="22"/>
              </w:rPr>
            </w:pPr>
            <w:r>
              <w:rPr>
                <w:color w:val="000000"/>
                <w:sz w:val="22"/>
              </w:rPr>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jc w:val="end"/>
              <w:rPr>
                <w:color w:val="000000"/>
                <w:sz w:val="22"/>
              </w:rPr>
            </w:pPr>
            <w:r>
              <w:rPr>
                <w:color w:val="000000"/>
                <w:sz w:val="22"/>
              </w:rPr>
              <w:t>4000 lbs</w:t>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jc w:val="end"/>
              <w:rPr>
                <w:color w:val="000000"/>
                <w:sz w:val="22"/>
              </w:rPr>
            </w:pPr>
            <w:r>
              <w:rPr>
                <w:color w:val="000000"/>
                <w:sz w:val="22"/>
              </w:rPr>
              <w:t>7.5 ft</w:t>
            </w:r>
            <w:r>
              <w:rPr>
                <w:color w:val="000000"/>
                <w:sz w:val="22"/>
                <w:vertAlign w:val="superscript"/>
              </w:rPr>
              <w:t>3</w:t>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jc w:val="end"/>
              <w:rPr>
                <w:color w:val="000000"/>
                <w:sz w:val="22"/>
              </w:rPr>
            </w:pPr>
            <w:r>
              <w:rPr>
                <w:color w:val="000000"/>
                <w:sz w:val="22"/>
              </w:rPr>
              <w:t>1.5 ft</w:t>
            </w:r>
            <w:r>
              <w:rPr>
                <w:color w:val="000000"/>
                <w:sz w:val="22"/>
                <w:vertAlign w:val="superscript"/>
              </w:rPr>
              <w:t>3</w:t>
            </w:r>
          </w:p>
        </w:tc>
        <w:tc>
          <w:tcPr>
            <w:tcW w:w="2394"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1095" w:leader="none"/>
                <w:tab w:val="left" w:pos="2880" w:leader="none"/>
                <w:tab w:val="left" w:pos="3615" w:leader="none"/>
                <w:tab w:val="left" w:pos="4320" w:leader="none"/>
                <w:tab w:val="left" w:pos="5220" w:leader="none"/>
              </w:tabs>
              <w:snapToGrid w:val="false"/>
              <w:spacing w:lineRule="exact" w:line="240"/>
              <w:jc w:val="end"/>
              <w:rPr>
                <w:color w:val="000000"/>
                <w:sz w:val="22"/>
              </w:rPr>
            </w:pPr>
            <w:r>
              <w:rPr>
                <w:color w:val="000000"/>
                <w:sz w:val="22"/>
              </w:rPr>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jc w:val="end"/>
              <w:rPr>
                <w:color w:val="000000"/>
                <w:sz w:val="22"/>
              </w:rPr>
            </w:pPr>
            <w:r>
              <w:rPr>
                <w:color w:val="000000"/>
                <w:sz w:val="22"/>
              </w:rPr>
              <w:t>6 mnths – 2 years</w:t>
            </w:r>
            <w:r>
              <w:rPr>
                <w:color w:val="000000"/>
                <w:sz w:val="22"/>
                <w:vertAlign w:val="superscript"/>
              </w:rPr>
              <w:t>(2)</w:t>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jc w:val="end"/>
              <w:rPr>
                <w:color w:val="000000"/>
                <w:sz w:val="22"/>
              </w:rPr>
            </w:pPr>
            <w:r>
              <w:rPr>
                <w:color w:val="000000"/>
                <w:sz w:val="22"/>
              </w:rPr>
              <w:t>3 years</w:t>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jc w:val="end"/>
              <w:rPr>
                <w:color w:val="000000"/>
                <w:sz w:val="22"/>
              </w:rPr>
            </w:pPr>
            <w:r>
              <w:rPr>
                <w:color w:val="000000"/>
                <w:sz w:val="22"/>
              </w:rPr>
              <w:t>5 years</w:t>
            </w:r>
          </w:p>
        </w:tc>
      </w:tr>
      <w:tr>
        <w:trPr/>
        <w:tc>
          <w:tcPr>
            <w:tcW w:w="2790" w:type="dxa"/>
            <w:tcBorders>
              <w:top w:val="single" w:sz="6" w:space="0" w:color="000000"/>
              <w:start w:val="single" w:sz="6" w:space="0" w:color="000000"/>
              <w:bottom w:val="single" w:sz="6" w:space="0" w:color="000000"/>
              <w:end w:val="single" w:sz="6" w:space="0" w:color="000000"/>
            </w:tcBorders>
          </w:tcPr>
          <w:p>
            <w:pPr>
              <w:pStyle w:val="Heading3"/>
              <w:tabs>
                <w:tab w:val="clear" w:pos="720"/>
                <w:tab w:val="left" w:pos="1095" w:leader="none"/>
                <w:tab w:val="left" w:pos="2880" w:leader="none"/>
                <w:tab w:val="left" w:pos="3615" w:leader="none"/>
                <w:tab w:val="left" w:pos="4320" w:leader="none"/>
                <w:tab w:val="left" w:pos="5220" w:leader="none"/>
              </w:tabs>
              <w:spacing w:lineRule="exact" w:line="240"/>
              <w:ind w:hanging="0" w:start="0"/>
              <w:jc w:val="start"/>
              <w:rPr/>
            </w:pPr>
            <w:r>
              <w:rPr/>
              <w:t>Oxidant Supply</w:t>
            </w:r>
          </w:p>
          <w:p>
            <w:pPr>
              <w:pStyle w:val="Normal"/>
              <w:rPr/>
            </w:pPr>
            <w:r>
              <w:rPr>
                <w:rFonts w:eastAsia="Arial"/>
              </w:rPr>
              <w:t xml:space="preserve">  </w:t>
            </w:r>
            <w:r>
              <w:rPr>
                <w:sz w:val="22"/>
              </w:rPr>
              <w:t>Anode Exhaust Catalyst</w:t>
            </w:r>
          </w:p>
          <w:p>
            <w:pPr>
              <w:pStyle w:val="Normal"/>
              <w:rPr>
                <w:sz w:val="22"/>
              </w:rPr>
            </w:pPr>
            <w:r>
              <w:rPr>
                <w:sz w:val="22"/>
              </w:rPr>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1095" w:leader="none"/>
                <w:tab w:val="left" w:pos="2880" w:leader="none"/>
                <w:tab w:val="left" w:pos="3615" w:leader="none"/>
                <w:tab w:val="left" w:pos="4320" w:leader="none"/>
                <w:tab w:val="left" w:pos="5220" w:leader="none"/>
              </w:tabs>
              <w:snapToGrid w:val="false"/>
              <w:spacing w:lineRule="exact" w:line="240"/>
              <w:jc w:val="end"/>
              <w:rPr>
                <w:color w:val="000000"/>
                <w:sz w:val="22"/>
              </w:rPr>
            </w:pPr>
            <w:r>
              <w:rPr>
                <w:color w:val="000000"/>
                <w:sz w:val="22"/>
              </w:rPr>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jc w:val="end"/>
              <w:rPr/>
            </w:pPr>
            <w:r>
              <w:rPr>
                <w:color w:val="000000"/>
                <w:sz w:val="22"/>
              </w:rPr>
              <w:t>7.5 ft</w:t>
            </w:r>
            <w:r>
              <w:rPr>
                <w:color w:val="000000"/>
                <w:sz w:val="22"/>
                <w:vertAlign w:val="superscript"/>
              </w:rPr>
              <w:t>3</w:t>
            </w:r>
          </w:p>
        </w:tc>
        <w:tc>
          <w:tcPr>
            <w:tcW w:w="2394"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1095" w:leader="none"/>
                <w:tab w:val="left" w:pos="2880" w:leader="none"/>
                <w:tab w:val="left" w:pos="3615" w:leader="none"/>
                <w:tab w:val="left" w:pos="4320" w:leader="none"/>
                <w:tab w:val="left" w:pos="5220" w:leader="none"/>
              </w:tabs>
              <w:snapToGrid w:val="false"/>
              <w:spacing w:lineRule="exact" w:line="240"/>
              <w:jc w:val="end"/>
              <w:rPr>
                <w:color w:val="000000"/>
                <w:sz w:val="22"/>
                <w:vertAlign w:val="superscript"/>
              </w:rPr>
            </w:pPr>
            <w:r>
              <w:rPr>
                <w:color w:val="000000"/>
                <w:sz w:val="22"/>
                <w:vertAlign w:val="superscript"/>
              </w:rPr>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jc w:val="end"/>
              <w:rPr>
                <w:color w:val="000000"/>
                <w:sz w:val="22"/>
              </w:rPr>
            </w:pPr>
            <w:r>
              <w:rPr>
                <w:color w:val="000000"/>
                <w:sz w:val="22"/>
              </w:rPr>
              <w:t>5 years</w:t>
            </w:r>
          </w:p>
        </w:tc>
      </w:tr>
      <w:tr>
        <w:trPr/>
        <w:tc>
          <w:tcPr>
            <w:tcW w:w="2790" w:type="dxa"/>
            <w:tcBorders>
              <w:top w:val="single" w:sz="6" w:space="0" w:color="000000"/>
              <w:start w:val="single" w:sz="6" w:space="0" w:color="000000"/>
              <w:bottom w:val="single" w:sz="6" w:space="0" w:color="000000"/>
              <w:end w:val="single" w:sz="6" w:space="0" w:color="000000"/>
            </w:tcBorders>
          </w:tcPr>
          <w:p>
            <w:pPr>
              <w:pStyle w:val="Heading3"/>
              <w:tabs>
                <w:tab w:val="clear" w:pos="720"/>
                <w:tab w:val="left" w:pos="1095" w:leader="none"/>
                <w:tab w:val="left" w:pos="2880" w:leader="none"/>
                <w:tab w:val="left" w:pos="3615" w:leader="none"/>
                <w:tab w:val="left" w:pos="4320" w:leader="none"/>
                <w:tab w:val="left" w:pos="5220" w:leader="none"/>
              </w:tabs>
              <w:spacing w:lineRule="exact" w:line="240"/>
              <w:ind w:hanging="0" w:start="0"/>
              <w:jc w:val="start"/>
              <w:rPr/>
            </w:pPr>
            <w:r>
              <w:rPr/>
              <w:t>Water Treatment</w:t>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rPr>
                <w:color w:val="000000"/>
                <w:sz w:val="22"/>
              </w:rPr>
            </w:pPr>
            <w:r>
              <w:rPr>
                <w:rFonts w:eastAsia="Arial"/>
                <w:color w:val="000000"/>
                <w:sz w:val="22"/>
              </w:rPr>
              <w:t xml:space="preserve">  </w:t>
            </w:r>
            <w:r>
              <w:rPr>
                <w:color w:val="000000"/>
                <w:sz w:val="22"/>
              </w:rPr>
              <w:t>Salt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1095" w:leader="none"/>
                <w:tab w:val="left" w:pos="2880" w:leader="none"/>
                <w:tab w:val="left" w:pos="3615" w:leader="none"/>
                <w:tab w:val="left" w:pos="4320" w:leader="none"/>
                <w:tab w:val="left" w:pos="5220" w:leader="none"/>
              </w:tabs>
              <w:snapToGrid w:val="false"/>
              <w:spacing w:lineRule="exact" w:line="240"/>
              <w:jc w:val="end"/>
              <w:rPr>
                <w:color w:val="000000"/>
                <w:sz w:val="22"/>
              </w:rPr>
            </w:pPr>
            <w:r>
              <w:rPr>
                <w:color w:val="000000"/>
                <w:sz w:val="22"/>
              </w:rPr>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jc w:val="end"/>
              <w:rPr>
                <w:color w:val="000000"/>
                <w:sz w:val="22"/>
              </w:rPr>
            </w:pPr>
            <w:r>
              <w:rPr>
                <w:color w:val="000000"/>
                <w:sz w:val="22"/>
              </w:rPr>
              <w:t>80 gallon</w:t>
            </w:r>
          </w:p>
        </w:tc>
        <w:tc>
          <w:tcPr>
            <w:tcW w:w="2394"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1095" w:leader="none"/>
                <w:tab w:val="left" w:pos="2880" w:leader="none"/>
                <w:tab w:val="left" w:pos="3615" w:leader="none"/>
                <w:tab w:val="left" w:pos="4320" w:leader="none"/>
                <w:tab w:val="left" w:pos="5220" w:leader="none"/>
              </w:tabs>
              <w:snapToGrid w:val="false"/>
              <w:spacing w:lineRule="exact" w:line="240"/>
              <w:jc w:val="end"/>
              <w:rPr>
                <w:color w:val="000000"/>
                <w:sz w:val="22"/>
              </w:rPr>
            </w:pPr>
            <w:r>
              <w:rPr>
                <w:color w:val="000000"/>
                <w:sz w:val="22"/>
              </w:rPr>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jc w:val="end"/>
              <w:rPr>
                <w:color w:val="000000"/>
                <w:sz w:val="22"/>
              </w:rPr>
            </w:pPr>
            <w:r>
              <w:rPr>
                <w:color w:val="000000"/>
                <w:sz w:val="22"/>
              </w:rPr>
              <w:t xml:space="preserve">1 to 3 months </w:t>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jc w:val="center"/>
              <w:rPr>
                <w:color w:val="000000"/>
                <w:sz w:val="22"/>
              </w:rPr>
            </w:pPr>
            <w:r>
              <w:rPr>
                <w:color w:val="000000"/>
                <w:sz w:val="22"/>
              </w:rPr>
            </w:r>
          </w:p>
        </w:tc>
      </w:tr>
    </w:tbl>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ind w:start="720" w:end="0"/>
        <w:rPr>
          <w:color w:val="000000"/>
          <w:sz w:val="22"/>
        </w:rPr>
      </w:pPr>
      <w:r>
        <w:rPr>
          <w:color w:val="000000"/>
          <w:sz w:val="22"/>
        </w:rPr>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ind w:start="720" w:end="0"/>
        <w:rPr>
          <w:color w:val="000000"/>
          <w:sz w:val="20"/>
        </w:rPr>
      </w:pPr>
      <w:r>
        <w:rPr>
          <w:color w:val="000000"/>
          <w:sz w:val="20"/>
        </w:rPr>
        <w:t>Notes:</w:t>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ind w:start="720" w:end="0"/>
        <w:rPr>
          <w:color w:val="000000"/>
          <w:sz w:val="20"/>
        </w:rPr>
      </w:pPr>
      <w:r>
        <w:rPr>
          <w:color w:val="000000"/>
          <w:sz w:val="20"/>
        </w:rPr>
        <w:t xml:space="preserve">(1) Required for Peak Shave Gas Option Only  </w:t>
      </w:r>
    </w:p>
    <w:p>
      <w:pPr>
        <w:pStyle w:val="Normal"/>
        <w:jc w:val="both"/>
        <w:rPr>
          <w:color w:val="000000"/>
          <w:sz w:val="20"/>
        </w:rPr>
      </w:pPr>
      <w:r>
        <w:rPr>
          <w:color w:val="000000"/>
          <w:sz w:val="20"/>
        </w:rPr>
        <w:tab/>
        <w:t>(2) At 100% capacity, dependent on type of odorant in natural gas</w:t>
      </w:r>
    </w:p>
    <w:p>
      <w:pPr>
        <w:pStyle w:val="Normal"/>
        <w:jc w:val="both"/>
        <w:rPr/>
      </w:pPr>
      <w:r>
        <w:rPr/>
      </w:r>
    </w:p>
    <w:p>
      <w:pPr>
        <w:pStyle w:val="Normal"/>
        <w:jc w:val="both"/>
        <w:rPr/>
      </w:pPr>
      <w:r>
        <w:rPr/>
      </w:r>
    </w:p>
    <w:p>
      <w:pPr>
        <w:pStyle w:val="Normal"/>
        <w:jc w:val="both"/>
        <w:rPr/>
      </w:pPr>
      <w:r>
        <w:rPr/>
        <w:t xml:space="preserve">Labor requirements for O&amp;M are expected to be limited to labor to replace these consumables, routine maintenance, and periodic checks of the plant.  The unit normally runs unattended. </w:t>
      </w:r>
    </w:p>
    <w:p>
      <w:pPr>
        <w:pStyle w:val="Normal"/>
        <w:jc w:val="both"/>
        <w:rPr/>
      </w:pPr>
      <w:r>
        <w:rPr/>
      </w:r>
    </w:p>
    <w:p>
      <w:pPr>
        <w:pStyle w:val="Normal"/>
        <w:jc w:val="both"/>
        <w:rPr>
          <w:b/>
        </w:rPr>
      </w:pPr>
      <w:r>
        <w:rPr>
          <w:b/>
        </w:rPr>
        <w:t>2.5  Installation and Site Issues</w:t>
      </w:r>
    </w:p>
    <w:p>
      <w:pPr>
        <w:pStyle w:val="Normal"/>
        <w:jc w:val="both"/>
        <w:rPr/>
      </w:pPr>
      <w:r>
        <w:rPr/>
        <w:t>The powerplant is designed to be installed in a wide variety of sites, with a range of conditions, however bounds have been placed on the site conditions to be used as a design basis.  The powerplants will be shipped to these sites and installed with a minimum of field work.  The following subsections discuss the modularization, transportation, and site issues.</w:t>
      </w:r>
    </w:p>
    <w:p>
      <w:pPr>
        <w:pStyle w:val="Normal"/>
        <w:jc w:val="both"/>
        <w:rPr/>
      </w:pPr>
      <w:r>
        <w:rPr/>
      </w:r>
    </w:p>
    <w:p>
      <w:pPr>
        <w:pStyle w:val="Normal"/>
        <w:jc w:val="both"/>
        <w:rPr>
          <w:b/>
        </w:rPr>
      </w:pPr>
      <w:r>
        <w:rPr>
          <w:b/>
        </w:rPr>
        <w:t>2.5.1 Modularization and Transportation</w:t>
      </w:r>
    </w:p>
    <w:p>
      <w:pPr>
        <w:pStyle w:val="Normal"/>
        <w:jc w:val="both"/>
        <w:rPr/>
      </w:pPr>
      <w:r>
        <w:rPr/>
        <w:t>The DFC Powerplant is highly modularized, consisting of two Fuel Cell Stack Modules and mechanical equipment and electrical equipment skids.  All components are designed for installation outdoor, and to be transportable by truck to the plant site.  Standard or customized trailers will be used for ground transportation.</w:t>
      </w:r>
    </w:p>
    <w:p>
      <w:pPr>
        <w:pStyle w:val="Normal"/>
        <w:jc w:val="both"/>
        <w:rPr/>
      </w:pPr>
      <w:r>
        <w:rPr/>
      </w:r>
    </w:p>
    <w:p>
      <w:pPr>
        <w:pStyle w:val="Normal"/>
        <w:jc w:val="both"/>
        <w:rPr/>
      </w:pPr>
      <w:r>
        <w:rPr/>
        <w:t xml:space="preserve">The Fuel Cell Stack Modules and balance of plant (BOP) equipment skids will be preassembled and tested in the shop before shipment to the site.  Each cylindrical Fuel Cell Stack Module, containing four fuel cell stacks and internal distribution piping/ducting, will be assembled and conditioned in the factory. All mechanical and electrical equipment, piping, and valves will be shop installed on the equipment skids prior to delivery.  Interconnecting piping between skids has been minimized in the plant design.  All instrumentation and electrical components on the skids will be prewired, with all connections to other skids terminating at junction boxes. </w:t>
      </w:r>
    </w:p>
    <w:p>
      <w:pPr>
        <w:pStyle w:val="Normal"/>
        <w:jc w:val="both"/>
        <w:rPr/>
      </w:pPr>
      <w:r>
        <w:rPr/>
      </w:r>
    </w:p>
    <w:p>
      <w:pPr>
        <w:pStyle w:val="Normal"/>
        <w:jc w:val="both"/>
        <w:rPr/>
      </w:pPr>
      <w:r>
        <w:rPr/>
        <w:t>The design of the Fuel Cell Stack Modules and equipment skids facilitates rapid installation and interconnection at the plant site, while providing access to critical plant components for inspection and maintenance work (such as Fuel Cell Stack Module replacement, catalyst / absorbent replacement, valve maintenance, air filter changeout, etc.)   The Fuel Cell Stack Modules and equipment skids are designed to be truck transportable.  The Fuel Cell Stack Module is about 13 feet in diameter, and weighs ~95,000 lbs.  The shipping weight of the other BOP skids is summarized in Table 3:</w:t>
      </w:r>
    </w:p>
    <w:p>
      <w:pPr>
        <w:pStyle w:val="Normal"/>
        <w:jc w:val="both"/>
        <w:rPr/>
      </w:pPr>
      <w:r>
        <w:rPr/>
      </w:r>
    </w:p>
    <w:p>
      <w:pPr>
        <w:pStyle w:val="Heading3"/>
        <w:ind w:hanging="0" w:start="0"/>
        <w:rPr/>
      </w:pPr>
      <w:r>
        <w:rPr/>
        <w:t>Table 3, BOP Skid Shipping Weights</w:t>
      </w:r>
    </w:p>
    <w:tbl>
      <w:tblPr>
        <w:tblW w:w="5189" w:type="dxa"/>
        <w:jc w:val="center"/>
        <w:tblInd w:w="0" w:type="dxa"/>
        <w:tblLayout w:type="fixed"/>
        <w:tblCellMar>
          <w:top w:w="0" w:type="dxa"/>
          <w:start w:w="30" w:type="dxa"/>
          <w:bottom w:w="0" w:type="dxa"/>
          <w:end w:w="30" w:type="dxa"/>
        </w:tblCellMar>
      </w:tblPr>
      <w:tblGrid>
        <w:gridCol w:w="3778"/>
        <w:gridCol w:w="1411"/>
      </w:tblGrid>
      <w:tr>
        <w:trPr>
          <w:trHeight w:val="785" w:hRule="atLeast"/>
        </w:trPr>
        <w:tc>
          <w:tcPr>
            <w:tcW w:w="3778"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DFC powerplant Weights</w:t>
            </w:r>
          </w:p>
        </w:tc>
        <w:tc>
          <w:tcPr>
            <w:tcW w:w="1411" w:type="dxa"/>
            <w:tcBorders>
              <w:top w:val="single" w:sz="4" w:space="0" w:color="000000"/>
              <w:bottom w:val="single" w:sz="4" w:space="0" w:color="000000"/>
              <w:end w:val="single" w:sz="4" w:space="0" w:color="000000"/>
            </w:tcBorders>
          </w:tcPr>
          <w:p>
            <w:pPr>
              <w:pStyle w:val="Normal"/>
              <w:jc w:val="end"/>
              <w:rPr>
                <w:color w:val="000000"/>
                <w:sz w:val="20"/>
              </w:rPr>
            </w:pPr>
            <w:r>
              <w:rPr>
                <w:color w:val="000000"/>
                <w:sz w:val="20"/>
              </w:rPr>
              <w:t>Estimated Shipping Weight, lbs</w:t>
            </w:r>
          </w:p>
        </w:tc>
      </w:tr>
      <w:tr>
        <w:trPr>
          <w:trHeight w:val="262" w:hRule="atLeast"/>
        </w:trPr>
        <w:tc>
          <w:tcPr>
            <w:tcW w:w="3778" w:type="dxa"/>
            <w:tcBorders>
              <w:start w:val="single" w:sz="4" w:space="0" w:color="000000"/>
              <w:end w:val="single" w:sz="4" w:space="0" w:color="000000"/>
            </w:tcBorders>
          </w:tcPr>
          <w:p>
            <w:pPr>
              <w:pStyle w:val="Normal"/>
              <w:rPr>
                <w:color w:val="000000"/>
                <w:sz w:val="20"/>
              </w:rPr>
            </w:pPr>
            <w:r>
              <w:rPr>
                <w:color w:val="000000"/>
                <w:sz w:val="20"/>
              </w:rPr>
              <w:t>HRU Skid</w:t>
            </w:r>
          </w:p>
        </w:tc>
        <w:tc>
          <w:tcPr>
            <w:tcW w:w="1411" w:type="dxa"/>
            <w:tcBorders>
              <w:end w:val="single" w:sz="4" w:space="0" w:color="000000"/>
            </w:tcBorders>
          </w:tcPr>
          <w:p>
            <w:pPr>
              <w:pStyle w:val="Normal"/>
              <w:jc w:val="end"/>
              <w:rPr>
                <w:color w:val="000000"/>
                <w:sz w:val="20"/>
              </w:rPr>
            </w:pPr>
            <w:r>
              <w:rPr>
                <w:color w:val="000000"/>
                <w:sz w:val="20"/>
              </w:rPr>
              <w:t>116,000</w:t>
            </w:r>
          </w:p>
        </w:tc>
      </w:tr>
      <w:tr>
        <w:trPr>
          <w:trHeight w:val="262" w:hRule="atLeast"/>
        </w:trPr>
        <w:tc>
          <w:tcPr>
            <w:tcW w:w="3778" w:type="dxa"/>
            <w:tcBorders>
              <w:start w:val="single" w:sz="4" w:space="0" w:color="000000"/>
              <w:end w:val="single" w:sz="4" w:space="0" w:color="000000"/>
            </w:tcBorders>
          </w:tcPr>
          <w:p>
            <w:pPr>
              <w:pStyle w:val="Normal"/>
              <w:rPr>
                <w:color w:val="000000"/>
                <w:sz w:val="20"/>
              </w:rPr>
            </w:pPr>
            <w:r>
              <w:rPr>
                <w:color w:val="000000"/>
                <w:sz w:val="20"/>
              </w:rPr>
              <w:t>Oxidant Supply Skid</w:t>
            </w:r>
          </w:p>
        </w:tc>
        <w:tc>
          <w:tcPr>
            <w:tcW w:w="1411" w:type="dxa"/>
            <w:tcBorders>
              <w:end w:val="single" w:sz="4" w:space="0" w:color="000000"/>
            </w:tcBorders>
          </w:tcPr>
          <w:p>
            <w:pPr>
              <w:pStyle w:val="Normal"/>
              <w:jc w:val="end"/>
              <w:rPr>
                <w:color w:val="000000"/>
                <w:sz w:val="20"/>
              </w:rPr>
            </w:pPr>
            <w:r>
              <w:rPr>
                <w:color w:val="000000"/>
                <w:sz w:val="20"/>
              </w:rPr>
              <w:t>82,000</w:t>
            </w:r>
          </w:p>
        </w:tc>
      </w:tr>
      <w:tr>
        <w:trPr>
          <w:trHeight w:val="262" w:hRule="atLeast"/>
        </w:trPr>
        <w:tc>
          <w:tcPr>
            <w:tcW w:w="3778" w:type="dxa"/>
            <w:tcBorders>
              <w:start w:val="single" w:sz="4" w:space="0" w:color="000000"/>
              <w:end w:val="single" w:sz="4" w:space="0" w:color="000000"/>
            </w:tcBorders>
          </w:tcPr>
          <w:p>
            <w:pPr>
              <w:pStyle w:val="Normal"/>
              <w:rPr>
                <w:color w:val="000000"/>
                <w:sz w:val="20"/>
              </w:rPr>
            </w:pPr>
            <w:r>
              <w:rPr>
                <w:color w:val="000000"/>
                <w:sz w:val="20"/>
              </w:rPr>
              <w:t>Water Treatment/Instrument Air</w:t>
            </w:r>
          </w:p>
        </w:tc>
        <w:tc>
          <w:tcPr>
            <w:tcW w:w="1411" w:type="dxa"/>
            <w:tcBorders>
              <w:end w:val="single" w:sz="4" w:space="0" w:color="000000"/>
            </w:tcBorders>
          </w:tcPr>
          <w:p>
            <w:pPr>
              <w:pStyle w:val="Normal"/>
              <w:jc w:val="end"/>
              <w:rPr>
                <w:color w:val="000000"/>
                <w:sz w:val="20"/>
              </w:rPr>
            </w:pPr>
            <w:r>
              <w:rPr>
                <w:color w:val="000000"/>
                <w:sz w:val="20"/>
              </w:rPr>
              <w:t>53,000</w:t>
            </w:r>
          </w:p>
        </w:tc>
      </w:tr>
      <w:tr>
        <w:trPr>
          <w:trHeight w:val="262" w:hRule="atLeast"/>
        </w:trPr>
        <w:tc>
          <w:tcPr>
            <w:tcW w:w="3778" w:type="dxa"/>
            <w:tcBorders>
              <w:start w:val="single" w:sz="4" w:space="0" w:color="000000"/>
              <w:end w:val="single" w:sz="4" w:space="0" w:color="000000"/>
            </w:tcBorders>
          </w:tcPr>
          <w:p>
            <w:pPr>
              <w:pStyle w:val="Normal"/>
              <w:rPr>
                <w:color w:val="000000"/>
                <w:sz w:val="20"/>
              </w:rPr>
            </w:pPr>
            <w:r>
              <w:rPr>
                <w:color w:val="000000"/>
                <w:sz w:val="20"/>
              </w:rPr>
              <w:t>Electrical Skid #1</w:t>
            </w:r>
          </w:p>
        </w:tc>
        <w:tc>
          <w:tcPr>
            <w:tcW w:w="1411" w:type="dxa"/>
            <w:tcBorders>
              <w:end w:val="single" w:sz="4" w:space="0" w:color="000000"/>
            </w:tcBorders>
          </w:tcPr>
          <w:p>
            <w:pPr>
              <w:pStyle w:val="Normal"/>
              <w:jc w:val="end"/>
              <w:rPr>
                <w:color w:val="000000"/>
                <w:sz w:val="20"/>
              </w:rPr>
            </w:pPr>
            <w:r>
              <w:rPr>
                <w:color w:val="000000"/>
                <w:sz w:val="20"/>
              </w:rPr>
              <w:t>72,000</w:t>
            </w:r>
          </w:p>
        </w:tc>
      </w:tr>
      <w:tr>
        <w:trPr>
          <w:trHeight w:val="262" w:hRule="atLeast"/>
        </w:trPr>
        <w:tc>
          <w:tcPr>
            <w:tcW w:w="3778" w:type="dxa"/>
            <w:tcBorders>
              <w:start w:val="single" w:sz="4" w:space="0" w:color="000000"/>
              <w:end w:val="single" w:sz="4" w:space="0" w:color="000000"/>
            </w:tcBorders>
          </w:tcPr>
          <w:p>
            <w:pPr>
              <w:pStyle w:val="Normal"/>
              <w:rPr>
                <w:color w:val="000000"/>
                <w:sz w:val="20"/>
              </w:rPr>
            </w:pPr>
            <w:r>
              <w:rPr>
                <w:color w:val="000000"/>
                <w:sz w:val="20"/>
              </w:rPr>
              <w:t>Electrical Skid #2</w:t>
            </w:r>
          </w:p>
        </w:tc>
        <w:tc>
          <w:tcPr>
            <w:tcW w:w="1411" w:type="dxa"/>
            <w:tcBorders>
              <w:end w:val="single" w:sz="4" w:space="0" w:color="000000"/>
            </w:tcBorders>
          </w:tcPr>
          <w:p>
            <w:pPr>
              <w:pStyle w:val="Normal"/>
              <w:jc w:val="end"/>
              <w:rPr>
                <w:color w:val="000000"/>
                <w:sz w:val="20"/>
              </w:rPr>
            </w:pPr>
            <w:r>
              <w:rPr>
                <w:color w:val="000000"/>
                <w:sz w:val="20"/>
              </w:rPr>
              <w:t>72,000</w:t>
            </w:r>
          </w:p>
        </w:tc>
      </w:tr>
      <w:tr>
        <w:trPr>
          <w:trHeight w:val="262" w:hRule="atLeast"/>
        </w:trPr>
        <w:tc>
          <w:tcPr>
            <w:tcW w:w="3778" w:type="dxa"/>
            <w:tcBorders>
              <w:start w:val="single" w:sz="4" w:space="0" w:color="000000"/>
              <w:bottom w:val="single" w:sz="4" w:space="0" w:color="000000"/>
              <w:end w:val="single" w:sz="4" w:space="0" w:color="000000"/>
            </w:tcBorders>
          </w:tcPr>
          <w:p>
            <w:pPr>
              <w:pStyle w:val="Normal"/>
              <w:rPr>
                <w:color w:val="000000"/>
                <w:sz w:val="20"/>
              </w:rPr>
            </w:pPr>
            <w:r>
              <w:rPr>
                <w:color w:val="000000"/>
                <w:sz w:val="20"/>
              </w:rPr>
              <w:t>Electrical / Control Center Skid</w:t>
            </w:r>
          </w:p>
        </w:tc>
        <w:tc>
          <w:tcPr>
            <w:tcW w:w="1411" w:type="dxa"/>
            <w:tcBorders>
              <w:bottom w:val="single" w:sz="4" w:space="0" w:color="000000"/>
              <w:end w:val="single" w:sz="4" w:space="0" w:color="000000"/>
            </w:tcBorders>
          </w:tcPr>
          <w:p>
            <w:pPr>
              <w:pStyle w:val="Normal"/>
              <w:jc w:val="end"/>
              <w:rPr>
                <w:color w:val="000000"/>
                <w:sz w:val="20"/>
              </w:rPr>
            </w:pPr>
            <w:r>
              <w:rPr>
                <w:color w:val="000000"/>
                <w:sz w:val="20"/>
              </w:rPr>
              <w:t>16,000</w:t>
            </w:r>
          </w:p>
        </w:tc>
      </w:tr>
    </w:tbl>
    <w:p>
      <w:pPr>
        <w:pStyle w:val="Normal"/>
        <w:jc w:val="both"/>
        <w:rPr/>
      </w:pPr>
      <w:r>
        <w:rPr/>
      </w:r>
    </w:p>
    <w:p>
      <w:pPr>
        <w:pStyle w:val="Normal"/>
        <w:jc w:val="both"/>
        <w:rPr/>
      </w:pPr>
      <w:r>
        <w:rPr/>
        <w:t>Shipping of the Fuel Cell Stack Modules and equipment skids will be in accordance with Department of Transportation (DOT) regulations.  Special permitting may be required for transporting the Fuel Cell Stack Modules and equipment skids which weigh more than 50,000 lbs.  Also, special routing with escort and special permitting may be required for the Fuel Cell Stack Modules, particularly in metropolitan areas.  These additional requirements are not extreme, and do not pose a significant restriction on the areas which modules can be delivered to.</w:t>
      </w:r>
    </w:p>
    <w:p>
      <w:pPr>
        <w:pStyle w:val="Normal"/>
        <w:jc w:val="both"/>
        <w:rPr/>
      </w:pPr>
      <w:r>
        <w:rPr/>
      </w:r>
    </w:p>
    <w:p>
      <w:pPr>
        <w:pStyle w:val="Normal"/>
        <w:jc w:val="both"/>
        <w:rPr/>
      </w:pPr>
      <w:r>
        <w:rPr/>
        <w:t xml:space="preserve">On arrival at the plant site, the Fuel Cell Stack Modules and equipment skids will be positioned onto their foundations and aligned using a crane or by jacking and rolling.  Installation of interconnecting piping and of interconnecting electrical and instrumentation wiring will be completed thereafter.  Approximately four weeks will be required after arrival of the stack modules/skids at the site to install the stack modules/skids and complete powerplant commissioning. </w:t>
      </w:r>
    </w:p>
    <w:p>
      <w:pPr>
        <w:pStyle w:val="Normal"/>
        <w:jc w:val="both"/>
        <w:rPr/>
      </w:pPr>
      <w:r>
        <w:rPr/>
      </w:r>
    </w:p>
    <w:p>
      <w:pPr>
        <w:pStyle w:val="Normal"/>
        <w:jc w:val="both"/>
        <w:rPr/>
      </w:pPr>
      <w:r>
        <w:rPr/>
        <w:t>As noted above, the fuel cell stacks have to be replaced every three (market entry) to five (mature) years.  This will be done by delivering two new or reconditioned modules to the site and swapping out the old modules with a minimum of field work and down time.  The used modules will be returned for materials recycling or reconditioning.</w:t>
      </w:r>
    </w:p>
    <w:p>
      <w:pPr>
        <w:pStyle w:val="Normal"/>
        <w:jc w:val="both"/>
        <w:rPr/>
      </w:pPr>
      <w:r>
        <w:rPr/>
      </w:r>
    </w:p>
    <w:p>
      <w:pPr>
        <w:pStyle w:val="Normal"/>
        <w:jc w:val="both"/>
        <w:rPr/>
      </w:pPr>
      <w:r>
        <w:rPr/>
        <w:t>The plant requires a rectangular plot area of less than 4500 square feet.  Maintenance access is provided within the plant's boundaries for vehicles required to service plant equipment.  An access zone capable of supporting the module transporter and the crane used to lift and replace the Fuel Cell Stack Modules is required at the front of the site.  The zone is 18 feet wide and runs the 83 foot length of the plant.  A laydown area of about 4500 square feet should be available adjacent to the plant during construction.  Additional construction costs may be incurred if the laydown area cannot be provided.</w:t>
      </w:r>
    </w:p>
    <w:p>
      <w:pPr>
        <w:pStyle w:val="Normal"/>
        <w:jc w:val="both"/>
        <w:rPr/>
      </w:pPr>
      <w:r>
        <w:rPr/>
      </w:r>
    </w:p>
    <w:p>
      <w:pPr>
        <w:pStyle w:val="Normal"/>
        <w:jc w:val="both"/>
        <w:rPr/>
      </w:pPr>
      <w:r>
        <w:rPr/>
        <w:t>The design basis assumptions for site interfaces and site conditions are described in the next sections.</w:t>
      </w:r>
    </w:p>
    <w:p>
      <w:pPr>
        <w:pStyle w:val="Normal"/>
        <w:jc w:val="both"/>
        <w:rPr/>
      </w:pPr>
      <w:r>
        <w:rPr/>
      </w:r>
    </w:p>
    <w:p>
      <w:pPr>
        <w:pStyle w:val="Normal"/>
        <w:jc w:val="both"/>
        <w:rPr/>
      </w:pPr>
      <w:r>
        <w:rPr/>
      </w:r>
    </w:p>
    <w:p>
      <w:pPr>
        <w:pStyle w:val="Normal"/>
        <w:jc w:val="both"/>
        <w:rPr>
          <w:b/>
        </w:rPr>
      </w:pPr>
      <w:r>
        <w:rPr>
          <w:b/>
        </w:rPr>
        <w:t>2.5.2 Site Conditions</w:t>
      </w:r>
    </w:p>
    <w:p>
      <w:pPr>
        <w:pStyle w:val="Normal"/>
        <w:jc w:val="both"/>
        <w:rPr/>
      </w:pPr>
      <w:r>
        <w:rPr/>
        <w:t>Generic site and climatic design conditions for the plant are listed in Table 4.  This design range should allow the plant to be installed at most sites around the world.  The “design conditions” data refer to the range of conditions that the standard plant must operate under.  Conditions outside of this range will require plant modifications at extra cost.  The “performance point” data refer to the conditions at which the plant will provide its rated output and efficiency.</w:t>
      </w:r>
    </w:p>
    <w:p>
      <w:pPr>
        <w:pStyle w:val="Normal"/>
        <w:jc w:val="both"/>
        <w:rPr/>
      </w:pPr>
      <w:r>
        <w:rPr/>
      </w:r>
    </w:p>
    <w:p>
      <w:pPr>
        <w:pStyle w:val="Normal"/>
        <w:jc w:val="both"/>
        <w:rPr/>
      </w:pPr>
      <w:r>
        <w:rPr/>
        <w:t>Additional general site conditions assumed in the baseline design are:</w:t>
      </w:r>
    </w:p>
    <w:p>
      <w:pPr>
        <w:pStyle w:val="Normal"/>
        <w:jc w:val="both"/>
        <w:rPr/>
      </w:pPr>
      <w:r>
        <w:rPr/>
      </w:r>
    </w:p>
    <w:p>
      <w:pPr>
        <w:pStyle w:val="Normal"/>
        <w:numPr>
          <w:ilvl w:val="0"/>
          <w:numId w:val="2"/>
        </w:numPr>
        <w:jc w:val="both"/>
        <w:rPr/>
      </w:pPr>
      <w:r>
        <w:rPr/>
        <w:t xml:space="preserve">The site is clear and level, free of hazardous materials, and graded to ensure drainage of surface water.  </w:t>
      </w:r>
    </w:p>
    <w:p>
      <w:pPr>
        <w:pStyle w:val="Normal"/>
        <w:numPr>
          <w:ilvl w:val="0"/>
          <w:numId w:val="2"/>
        </w:numPr>
        <w:jc w:val="both"/>
        <w:rPr/>
      </w:pPr>
      <w:r>
        <w:rPr/>
        <w:t>The site soils are capable of a bearing pressure of 4000 pounds/square foot (PSF).</w:t>
      </w:r>
    </w:p>
    <w:p>
      <w:pPr>
        <w:pStyle w:val="Normal"/>
        <w:numPr>
          <w:ilvl w:val="0"/>
          <w:numId w:val="2"/>
        </w:numPr>
        <w:jc w:val="both"/>
        <w:rPr/>
      </w:pPr>
      <w:r>
        <w:rPr/>
        <w:t>All-weather road access at the front of the site is available.  The road will have sufficient load bearing capacity for the heaviest single equipment skid (120,000 lb), plus its transport and/or crane.</w:t>
      </w:r>
    </w:p>
    <w:p>
      <w:pPr>
        <w:pStyle w:val="Normal"/>
        <w:jc w:val="both"/>
        <w:rPr/>
      </w:pPr>
      <w:r>
        <w:rPr/>
      </w:r>
    </w:p>
    <w:p>
      <w:pPr>
        <w:pStyle w:val="Normal"/>
        <w:jc w:val="both"/>
        <w:rPr/>
      </w:pPr>
      <w:r>
        <w:rPr/>
        <w:t>As evident from this discussion, the plant design has been done assuming an outdoor installation.  This does not preclude the installation of the powerplant inside a building, as long as the proper floor loadings and access allowances are provided.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2"/>
        </w:rPr>
      </w:pPr>
      <w:r>
        <w:rPr>
          <w:b/>
          <w:color w:val="000000"/>
          <w:sz w:val="22"/>
        </w:rPr>
        <w:t>TABLE 4</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color w:val="000000"/>
          <w:sz w:val="12"/>
          <w:vertAlign w:val="superscript"/>
        </w:rPr>
      </w:pPr>
      <w:r>
        <w:rPr>
          <w:b/>
          <w:color w:val="000000"/>
          <w:sz w:val="22"/>
        </w:rPr>
        <w:t>GENERIC SITE DESIGN CONDITIONS</w:t>
      </w:r>
      <w:r>
        <w:rPr>
          <w:b/>
          <w:color w:val="000000"/>
          <w:sz w:val="22"/>
          <w:vertAlign w:val="superscript"/>
        </w:rPr>
        <w:t>(1)</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color w:val="000000"/>
          <w:sz w:val="22"/>
          <w:vertAlign w:val="superscript"/>
        </w:rPr>
      </w:pPr>
      <w:r>
        <w:rPr>
          <w:b/>
          <w:color w:val="000000"/>
          <w:sz w:val="22"/>
          <w:vertAlign w:val="superscript"/>
        </w:rPr>
      </w:r>
    </w:p>
    <w:tbl>
      <w:tblPr>
        <w:tblW w:w="8640" w:type="dxa"/>
        <w:jc w:val="start"/>
        <w:tblInd w:w="828" w:type="dxa"/>
        <w:tblLayout w:type="fixed"/>
        <w:tblCellMar>
          <w:top w:w="0" w:type="dxa"/>
          <w:start w:w="108" w:type="dxa"/>
          <w:bottom w:w="0" w:type="dxa"/>
          <w:end w:w="108" w:type="dxa"/>
        </w:tblCellMar>
      </w:tblPr>
      <w:tblGrid>
        <w:gridCol w:w="3780"/>
        <w:gridCol w:w="2700"/>
        <w:gridCol w:w="2160"/>
      </w:tblGrid>
      <w:tr>
        <w:trPr/>
        <w:tc>
          <w:tcPr>
            <w:tcW w:w="378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2"/>
              </w:rPr>
            </w:pPr>
            <w:r>
              <w:rPr>
                <w:color w:val="000000"/>
                <w:sz w:val="22"/>
              </w:rPr>
              <w:t>CATEGORY</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2"/>
              </w:rPr>
            </w:pPr>
            <w:r>
              <w:rPr>
                <w:color w:val="000000"/>
                <w:sz w:val="22"/>
              </w:rPr>
              <w:t>DESIGN CONDITIONS</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pPr>
            <w:r>
              <w:rPr>
                <w:color w:val="000000"/>
                <w:sz w:val="22"/>
              </w:rPr>
              <w:t>PERFORMANCE POINT</w:t>
            </w:r>
            <w:r>
              <w:rPr>
                <w:color w:val="000000"/>
                <w:sz w:val="22"/>
                <w:vertAlign w:val="superscript"/>
              </w:rPr>
              <w:t>(2)</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2"/>
                <w:vertAlign w:val="superscript"/>
              </w:rPr>
            </w:pPr>
            <w:r>
              <w:rPr>
                <w:color w:val="000000"/>
                <w:sz w:val="22"/>
                <w:vertAlign w:val="superscript"/>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2"/>
              </w:rPr>
            </w:pPr>
            <w:r>
              <w:rPr>
                <w:color w:val="000000"/>
                <w:sz w:val="22"/>
              </w:rPr>
              <w:t>Elevation above Sea Level</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2"/>
              </w:rPr>
            </w:pPr>
            <w:r>
              <w:rPr>
                <w:color w:val="000000"/>
                <w:sz w:val="22"/>
              </w:rPr>
              <w:t>0 to 2500 ft</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2"/>
              </w:rPr>
            </w:pPr>
            <w:r>
              <w:rPr>
                <w:color w:val="000000"/>
                <w:sz w:val="22"/>
              </w:rPr>
              <w:t>0 ft</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2"/>
              </w:rPr>
            </w:pPr>
            <w:r>
              <w:rPr>
                <w:color w:val="000000"/>
                <w:sz w:val="22"/>
              </w:rPr>
              <w:t>Ambient Temperature</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2"/>
              </w:rPr>
            </w:pPr>
            <w:r>
              <w:rPr>
                <w:color w:val="000000"/>
                <w:sz w:val="22"/>
              </w:rPr>
              <w:t>-20 to 104 F</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2"/>
              </w:rPr>
            </w:pPr>
            <w:r>
              <w:rPr>
                <w:color w:val="000000"/>
                <w:sz w:val="22"/>
              </w:rPr>
              <w:t>59 F</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2"/>
              </w:rPr>
            </w:pPr>
            <w:r>
              <w:rPr>
                <w:color w:val="000000"/>
                <w:sz w:val="22"/>
              </w:rPr>
              <w:t>Relative Humidity</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2"/>
              </w:rPr>
            </w:pPr>
            <w:r>
              <w:rPr>
                <w:color w:val="000000"/>
                <w:sz w:val="22"/>
              </w:rPr>
              <w:t>0 to 100 %</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2"/>
              </w:rPr>
            </w:pPr>
            <w:r>
              <w:rPr>
                <w:color w:val="000000"/>
                <w:sz w:val="22"/>
              </w:rPr>
              <w:t>60 %</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2"/>
              </w:rPr>
            </w:pPr>
            <w:r>
              <w:rPr>
                <w:color w:val="000000"/>
                <w:sz w:val="22"/>
              </w:rPr>
              <w:t>Wind Loading @ 33 ft</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2"/>
              </w:rPr>
            </w:pPr>
            <w:r>
              <w:rPr>
                <w:color w:val="000000"/>
                <w:sz w:val="22"/>
              </w:rPr>
              <w:t xml:space="preserve">24 PSF </w:t>
            </w:r>
            <w:r>
              <w:rPr>
                <w:color w:val="000000"/>
                <w:sz w:val="22"/>
                <w:vertAlign w:val="superscript"/>
              </w:rPr>
              <w:t>(3)</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lineRule="exact" w:line="240"/>
              <w:jc w:val="center"/>
              <w:rPr>
                <w:color w:val="000000"/>
                <w:sz w:val="22"/>
              </w:rPr>
            </w:pPr>
            <w:r>
              <w:rPr>
                <w:color w:val="000000"/>
                <w:sz w:val="22"/>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2"/>
              </w:rPr>
            </w:pPr>
            <w:r>
              <w:rPr>
                <w:color w:val="000000"/>
                <w:sz w:val="22"/>
              </w:rPr>
              <w:t>Snow Load</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2"/>
              </w:rPr>
            </w:pPr>
            <w:r>
              <w:rPr>
                <w:color w:val="000000"/>
                <w:sz w:val="22"/>
              </w:rPr>
              <w:t xml:space="preserve">30 PSF </w:t>
            </w:r>
            <w:r>
              <w:rPr>
                <w:color w:val="000000"/>
                <w:sz w:val="22"/>
                <w:vertAlign w:val="superscript"/>
              </w:rPr>
              <w:t>(4)</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lineRule="exact" w:line="240"/>
              <w:jc w:val="center"/>
              <w:rPr>
                <w:color w:val="000000"/>
                <w:sz w:val="22"/>
              </w:rPr>
            </w:pPr>
            <w:r>
              <w:rPr>
                <w:color w:val="000000"/>
                <w:sz w:val="22"/>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2"/>
              </w:rPr>
            </w:pPr>
            <w:r>
              <w:rPr>
                <w:color w:val="000000"/>
                <w:sz w:val="22"/>
              </w:rPr>
              <w:t>Precipitation</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2"/>
              </w:rPr>
            </w:pPr>
            <w:r>
              <w:rPr>
                <w:color w:val="000000"/>
                <w:sz w:val="22"/>
              </w:rPr>
              <w:t>2.5 inches/hour</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lineRule="exact" w:line="240"/>
              <w:jc w:val="center"/>
              <w:rPr>
                <w:color w:val="000000"/>
                <w:sz w:val="22"/>
              </w:rPr>
            </w:pPr>
            <w:r>
              <w:rPr>
                <w:color w:val="000000"/>
                <w:sz w:val="22"/>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2"/>
              </w:rPr>
            </w:pPr>
            <w:r>
              <w:rPr>
                <w:color w:val="000000"/>
                <w:sz w:val="22"/>
              </w:rPr>
              <w:t>Seismic</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2"/>
              </w:rPr>
            </w:pPr>
            <w:r>
              <w:rPr>
                <w:color w:val="000000"/>
                <w:sz w:val="22"/>
              </w:rPr>
              <w:t>UBC Zone 2</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lineRule="exact" w:line="240"/>
              <w:jc w:val="center"/>
              <w:rPr>
                <w:color w:val="000000"/>
                <w:sz w:val="22"/>
              </w:rPr>
            </w:pPr>
            <w:r>
              <w:rPr>
                <w:color w:val="000000"/>
                <w:sz w:val="22"/>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2"/>
              </w:rPr>
            </w:pPr>
            <w:r>
              <w:rPr>
                <w:color w:val="000000"/>
                <w:sz w:val="22"/>
              </w:rPr>
              <w:t>Ambient Dust Loading, Ave./yr</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2"/>
              </w:rPr>
            </w:pPr>
            <w:r>
              <w:rPr>
                <w:color w:val="000000"/>
                <w:sz w:val="22"/>
              </w:rPr>
              <w:t>27 micro-gram/m</w:t>
            </w:r>
            <w:r>
              <w:rPr>
                <w:color w:val="000000"/>
                <w:sz w:val="22"/>
                <w:vertAlign w:val="superscript"/>
              </w:rPr>
              <w:t>3</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lineRule="exact" w:line="240"/>
              <w:jc w:val="center"/>
              <w:rPr>
                <w:color w:val="000000"/>
                <w:sz w:val="22"/>
              </w:rPr>
            </w:pPr>
            <w:r>
              <w:rPr>
                <w:color w:val="000000"/>
                <w:sz w:val="22"/>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2"/>
              </w:rPr>
            </w:pPr>
            <w:r>
              <w:rPr>
                <w:color w:val="000000"/>
                <w:sz w:val="22"/>
              </w:rPr>
              <w:t>Ambient Gaseous Halide Concentration, Ave./yr</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2"/>
              </w:rPr>
            </w:pPr>
            <w:r>
              <w:rPr>
                <w:color w:val="000000"/>
                <w:sz w:val="22"/>
              </w:rPr>
              <w:t>20 ppbw</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lineRule="exact" w:line="240"/>
              <w:jc w:val="center"/>
              <w:rPr>
                <w:color w:val="000000"/>
                <w:sz w:val="22"/>
              </w:rPr>
            </w:pPr>
            <w:r>
              <w:rPr>
                <w:color w:val="000000"/>
                <w:sz w:val="22"/>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2"/>
              </w:rPr>
            </w:pPr>
            <w:r>
              <w:rPr>
                <w:color w:val="000000"/>
                <w:sz w:val="22"/>
              </w:rPr>
              <w:t>Ambient Gaseous Sulfur Dioxide Concentration in Air</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2"/>
              </w:rPr>
            </w:pPr>
            <w:r>
              <w:rPr>
                <w:color w:val="000000"/>
                <w:sz w:val="22"/>
              </w:rPr>
              <w:t>&lt; 10 ppb</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lineRule="exact" w:line="240"/>
              <w:jc w:val="center"/>
              <w:rPr>
                <w:color w:val="000000"/>
                <w:sz w:val="22"/>
              </w:rPr>
            </w:pPr>
            <w:r>
              <w:rPr>
                <w:color w:val="000000"/>
                <w:sz w:val="22"/>
              </w:rPr>
            </w:r>
          </w:p>
        </w:tc>
      </w:tr>
    </w:tbl>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start="720" w:end="0"/>
        <w:rPr>
          <w:color w:val="000000"/>
          <w:sz w:val="22"/>
        </w:rPr>
      </w:pPr>
      <w:r>
        <w:rPr>
          <w:color w:val="000000"/>
          <w:sz w:val="22"/>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0"/>
        </w:rPr>
      </w:pPr>
      <w:r>
        <w:rPr>
          <w:color w:val="000000"/>
          <w:sz w:val="20"/>
        </w:rPr>
        <w:tab/>
        <w:t>Notes:</w:t>
      </w:r>
    </w:p>
    <w:p>
      <w:pPr>
        <w:pStyle w:val="Normal"/>
        <w:widowControl w:val="false"/>
        <w:tabs>
          <w:tab w:val="clear" w:pos="720"/>
          <w:tab w:val="left" w:pos="1296" w:leader="none"/>
          <w:tab w:val="left" w:pos="1728" w:leader="none"/>
          <w:tab w:val="left" w:pos="2160" w:leader="none"/>
          <w:tab w:val="left" w:pos="2592" w:leader="none"/>
          <w:tab w:val="left" w:pos="3024" w:leader="none"/>
          <w:tab w:val="left" w:pos="3456" w:leader="none"/>
          <w:tab w:val="left" w:pos="3888" w:leader="none"/>
          <w:tab w:val="left" w:pos="4320" w:leader="none"/>
        </w:tabs>
        <w:spacing w:lineRule="exact" w:line="240"/>
        <w:ind w:hanging="432" w:start="1296" w:end="0"/>
        <w:rPr>
          <w:color w:val="000000"/>
          <w:sz w:val="20"/>
        </w:rPr>
      </w:pPr>
      <w:r>
        <w:rPr>
          <w:color w:val="000000"/>
          <w:sz w:val="20"/>
        </w:rPr>
        <w:t>(1)</w:t>
        <w:tab/>
        <w:t>Highway access is required.  Rail siding is not required.</w:t>
      </w:r>
    </w:p>
    <w:p>
      <w:pPr>
        <w:pStyle w:val="Normal"/>
        <w:widowControl w:val="false"/>
        <w:tabs>
          <w:tab w:val="clear" w:pos="720"/>
          <w:tab w:val="left" w:pos="1296" w:leader="none"/>
          <w:tab w:val="left" w:pos="1728" w:leader="none"/>
          <w:tab w:val="left" w:pos="2160" w:leader="none"/>
          <w:tab w:val="left" w:pos="2592" w:leader="none"/>
          <w:tab w:val="left" w:pos="3024" w:leader="none"/>
          <w:tab w:val="left" w:pos="3456" w:leader="none"/>
          <w:tab w:val="left" w:pos="3888" w:leader="none"/>
          <w:tab w:val="left" w:pos="4320" w:leader="none"/>
        </w:tabs>
        <w:spacing w:lineRule="exact" w:line="240"/>
        <w:ind w:hanging="432" w:start="1296" w:end="0"/>
        <w:rPr>
          <w:color w:val="000000"/>
          <w:sz w:val="20"/>
        </w:rPr>
      </w:pPr>
      <w:r>
        <w:rPr>
          <w:color w:val="000000"/>
          <w:sz w:val="20"/>
        </w:rPr>
        <w:t>(2)   Basis for powerplant performance calculations.</w:t>
      </w:r>
    </w:p>
    <w:p>
      <w:pPr>
        <w:pStyle w:val="Normal"/>
        <w:widowControl w:val="false"/>
        <w:tabs>
          <w:tab w:val="clear" w:pos="720"/>
          <w:tab w:val="left" w:pos="1296" w:leader="none"/>
          <w:tab w:val="left" w:pos="1728" w:leader="none"/>
          <w:tab w:val="left" w:pos="2160" w:leader="none"/>
          <w:tab w:val="left" w:pos="2592" w:leader="none"/>
          <w:tab w:val="left" w:pos="3024" w:leader="none"/>
          <w:tab w:val="left" w:pos="3456" w:leader="none"/>
          <w:tab w:val="left" w:pos="3888" w:leader="none"/>
          <w:tab w:val="left" w:pos="4320" w:leader="none"/>
        </w:tabs>
        <w:spacing w:lineRule="exact" w:line="240"/>
        <w:ind w:hanging="432" w:start="1296" w:end="0"/>
        <w:rPr>
          <w:color w:val="000000"/>
          <w:sz w:val="20"/>
        </w:rPr>
      </w:pPr>
      <w:r>
        <w:rPr>
          <w:color w:val="000000"/>
          <w:sz w:val="20"/>
        </w:rPr>
        <w:t>(3)  This wind load of 30 PSF is based on a wind speed of less than 90 mph and Exposure C.  Exposure C is defined as “Open terrain with scattered obstructions having height generally less than 30 feet” (American Society of Civil Engineers standard ASCE 7-95).</w:t>
      </w:r>
    </w:p>
    <w:p>
      <w:pPr>
        <w:pStyle w:val="Normal"/>
        <w:widowControl w:val="false"/>
        <w:tabs>
          <w:tab w:val="clear" w:pos="720"/>
          <w:tab w:val="left" w:pos="1296" w:leader="none"/>
          <w:tab w:val="left" w:pos="1728" w:leader="none"/>
          <w:tab w:val="left" w:pos="2160" w:leader="none"/>
          <w:tab w:val="left" w:pos="2592" w:leader="none"/>
          <w:tab w:val="left" w:pos="3024" w:leader="none"/>
          <w:tab w:val="left" w:pos="3456" w:leader="none"/>
          <w:tab w:val="left" w:pos="3888" w:leader="none"/>
          <w:tab w:val="left" w:pos="4320" w:leader="none"/>
        </w:tabs>
        <w:spacing w:lineRule="exact" w:line="240"/>
        <w:ind w:hanging="432" w:start="1296" w:end="0"/>
        <w:rPr>
          <w:color w:val="000000"/>
          <w:sz w:val="22"/>
        </w:rPr>
      </w:pPr>
      <w:r>
        <w:rPr>
          <w:color w:val="000000"/>
          <w:sz w:val="20"/>
        </w:rPr>
        <w:t>(4)  This snow load is equivalent to a ground snow load of 40 PSF and a snow exposure factor of 0.7 per Uniform Building Code UBC-97.</w:t>
      </w:r>
    </w:p>
    <w:p>
      <w:pPr>
        <w:pStyle w:val="Normal"/>
        <w:jc w:val="both"/>
        <w:rPr>
          <w:color w:val="000000"/>
          <w:sz w:val="22"/>
        </w:rPr>
      </w:pPr>
      <w:r>
        <w:rPr>
          <w:color w:val="000000"/>
          <w:sz w:val="22"/>
        </w:rPr>
      </w:r>
    </w:p>
    <w:p>
      <w:pPr>
        <w:pStyle w:val="Normal"/>
        <w:jc w:val="both"/>
        <w:rPr/>
      </w:pPr>
      <w:r>
        <w:rPr/>
      </w:r>
    </w:p>
    <w:p>
      <w:pPr>
        <w:pStyle w:val="Normal"/>
        <w:jc w:val="both"/>
        <w:rPr/>
      </w:pPr>
      <w:r>
        <w:rPr/>
      </w:r>
    </w:p>
    <w:p>
      <w:pPr>
        <w:pStyle w:val="Normal"/>
        <w:jc w:val="both"/>
        <w:rPr>
          <w:b/>
        </w:rPr>
      </w:pPr>
      <w:r>
        <w:rPr>
          <w:b/>
        </w:rPr>
        <w:t>2.5.3  Plant / Site Interfaces</w:t>
      </w:r>
    </w:p>
    <w:p>
      <w:pPr>
        <w:pStyle w:val="Normal"/>
        <w:jc w:val="both"/>
        <w:rPr/>
      </w:pPr>
      <w:r>
        <w:rPr/>
        <w:t>The plant is designed for the following interconnections at the plant boundary limit:</w:t>
      </w:r>
    </w:p>
    <w:p>
      <w:pPr>
        <w:pStyle w:val="Normal"/>
        <w:jc w:val="both"/>
        <w:rPr/>
      </w:pPr>
      <w:r>
        <w:rPr/>
      </w:r>
    </w:p>
    <w:p>
      <w:pPr>
        <w:pStyle w:val="Normal"/>
        <w:numPr>
          <w:ilvl w:val="0"/>
          <w:numId w:val="6"/>
        </w:numPr>
        <w:jc w:val="both"/>
        <w:rPr/>
      </w:pPr>
      <w:r>
        <w:rPr/>
        <w:t>Pipeline natural gas supply</w:t>
      </w:r>
    </w:p>
    <w:p>
      <w:pPr>
        <w:pStyle w:val="Normal"/>
        <w:numPr>
          <w:ilvl w:val="0"/>
          <w:numId w:val="6"/>
        </w:numPr>
        <w:jc w:val="both"/>
        <w:rPr/>
      </w:pPr>
      <w:r>
        <w:rPr/>
        <w:t>Municipal quality potable water supply</w:t>
      </w:r>
    </w:p>
    <w:p>
      <w:pPr>
        <w:pStyle w:val="Normal"/>
        <w:numPr>
          <w:ilvl w:val="0"/>
          <w:numId w:val="6"/>
        </w:numPr>
        <w:jc w:val="both"/>
        <w:rPr/>
      </w:pPr>
      <w:r>
        <w:rPr/>
        <w:t>Firewater supply (depending on local regulations)</w:t>
      </w:r>
    </w:p>
    <w:p>
      <w:pPr>
        <w:pStyle w:val="Normal"/>
        <w:numPr>
          <w:ilvl w:val="0"/>
          <w:numId w:val="6"/>
        </w:numPr>
        <w:jc w:val="both"/>
        <w:rPr/>
      </w:pPr>
      <w:r>
        <w:rPr/>
        <w:t>Waste water discharge</w:t>
      </w:r>
    </w:p>
    <w:p>
      <w:pPr>
        <w:pStyle w:val="Normal"/>
        <w:numPr>
          <w:ilvl w:val="0"/>
          <w:numId w:val="6"/>
        </w:numPr>
        <w:jc w:val="both"/>
        <w:rPr/>
      </w:pPr>
      <w:r>
        <w:rPr/>
        <w:t>Flue Gas discharge to safe location (if indoors)</w:t>
      </w:r>
    </w:p>
    <w:p>
      <w:pPr>
        <w:pStyle w:val="Normal"/>
        <w:numPr>
          <w:ilvl w:val="0"/>
          <w:numId w:val="6"/>
        </w:numPr>
        <w:jc w:val="both"/>
        <w:rPr/>
      </w:pPr>
      <w:r>
        <w:rPr/>
        <w:t>Safety relief valve discharge to safe location (if indoors)</w:t>
      </w:r>
    </w:p>
    <w:p>
      <w:pPr>
        <w:pStyle w:val="Normal"/>
        <w:numPr>
          <w:ilvl w:val="0"/>
          <w:numId w:val="6"/>
        </w:numPr>
        <w:jc w:val="both"/>
        <w:rPr/>
      </w:pPr>
      <w:r>
        <w:rPr/>
        <w:t>Discharge of ventilation gases (if indoors)</w:t>
      </w:r>
    </w:p>
    <w:p>
      <w:pPr>
        <w:pStyle w:val="Normal"/>
        <w:jc w:val="both"/>
        <w:rPr/>
      </w:pPr>
      <w:r>
        <w:rPr/>
      </w:r>
    </w:p>
    <w:p>
      <w:pPr>
        <w:pStyle w:val="Normal"/>
        <w:jc w:val="both"/>
        <w:rPr/>
      </w:pPr>
      <w:r>
        <w:rPr/>
        <w:t>The plant also includes connections within the plant boundaries to tie into a telephone line and / or data highway (e.g. to connect the controller and Fire Alarm Control Panel with the Plant Buyer's control center and / or dispatch facility, local fire department, FuelCell Energy, Inc., etc.).</w:t>
      </w:r>
    </w:p>
    <w:p>
      <w:pPr>
        <w:pStyle w:val="Normal"/>
        <w:jc w:val="both"/>
        <w:rPr/>
      </w:pPr>
      <w:r>
        <w:rPr/>
      </w:r>
    </w:p>
    <w:p>
      <w:pPr>
        <w:pStyle w:val="Normal"/>
        <w:jc w:val="both"/>
        <w:rPr/>
      </w:pPr>
      <w:r>
        <w:rPr/>
        <w:t>A connection to an electric grid is also required.  Whenever the powerplant will not be generating power (such as during plant startup and shutdown), electric power for the plant auxiliaries will have to be backfed from the electric grid. Optionally, a small generator could be provided for this purpose.  The plant auxiliaries typically consume up to 60kW.</w:t>
      </w:r>
    </w:p>
    <w:p>
      <w:pPr>
        <w:pStyle w:val="Normal"/>
        <w:jc w:val="both"/>
        <w:rPr/>
      </w:pPr>
      <w:r>
        <w:rPr/>
      </w:r>
    </w:p>
    <w:p>
      <w:pPr>
        <w:pStyle w:val="Normal"/>
        <w:jc w:val="both"/>
        <w:rPr/>
      </w:pPr>
      <w:r>
        <w:rPr/>
        <w:t>Two of the most important interfaces to the plant are the fuel and water supply.  The   design includes fuel cleanup and water treatment systems which have minimum requirements for the quality of the gas and water entering the plant.  These requirements are described in the next sections.</w:t>
      </w:r>
    </w:p>
    <w:p>
      <w:pPr>
        <w:pStyle w:val="Normal"/>
        <w:jc w:val="both"/>
        <w:rPr/>
      </w:pPr>
      <w:r>
        <w:rPr/>
      </w:r>
    </w:p>
    <w:p>
      <w:pPr>
        <w:pStyle w:val="Normal"/>
        <w:jc w:val="both"/>
        <w:rPr/>
      </w:pPr>
      <w:r>
        <w:rPr/>
      </w:r>
    </w:p>
    <w:p>
      <w:pPr>
        <w:pStyle w:val="Normal"/>
        <w:jc w:val="both"/>
        <w:rPr/>
      </w:pPr>
      <w:r>
        <w:rPr/>
      </w:r>
    </w:p>
    <w:p>
      <w:pPr>
        <w:pStyle w:val="Normal"/>
        <w:jc w:val="both"/>
        <w:rPr>
          <w:b/>
        </w:rPr>
      </w:pPr>
      <w:r>
        <w:rPr>
          <w:b/>
        </w:rPr>
        <w:t>2.5.3.1  Fuel Quality Requirements</w:t>
      </w:r>
    </w:p>
    <w:p>
      <w:pPr>
        <w:pStyle w:val="Normal"/>
        <w:jc w:val="both"/>
        <w:rPr/>
      </w:pPr>
      <w:r>
        <w:rPr/>
        <w:t>The main plant feedstock is pipeline natural gas.  The plant is designed to operate with natural gas that meets the "range/limits" criteria listed in Table 5.  A small addition to the standard plant provides the capability to generate power on peak shave gas (natural gas mixed with propane or butane and a small amount of air, with up 4% oxygen content), as defined in Table 6, by incorporating an optional reactor.</w:t>
      </w:r>
    </w:p>
    <w:p>
      <w:pPr>
        <w:pStyle w:val="Normal"/>
        <w:jc w:val="both"/>
        <w:rPr/>
      </w:pPr>
      <w:r>
        <w:rPr/>
      </w:r>
    </w:p>
    <w:p>
      <w:pPr>
        <w:pStyle w:val="Normal"/>
        <w:jc w:val="both"/>
        <w:rPr/>
      </w:pPr>
      <w:r>
        <w:rPr/>
        <w:t>A natural gas with the "performance fuel" characteristics listed in Table 5 was used as the basis for estimating the plant's rated performance.  Use of natural gas with a different composition or heating value, or use of a peak shave gas (propane or butane), may impact plant performance.  Estimations of the type of impact can be made once a unique gas is specified.</w:t>
      </w:r>
    </w:p>
    <w:p>
      <w:pPr>
        <w:pStyle w:val="Normal"/>
        <w:jc w:val="both"/>
        <w:rPr/>
      </w:pPr>
      <w:r>
        <w:rPr/>
      </w:r>
    </w:p>
    <w:p>
      <w:pPr>
        <w:pStyle w:val="Normal"/>
        <w:jc w:val="both"/>
        <w:rPr/>
      </w:pPr>
      <w:r>
        <w:rPr/>
        <w:t>The plant is designed to desulfurize pipeline natural gas containing one of the three natural gas odorant blends listed in Table 7.  Each of the blends shown represents one of the three classes of natural gas odorants typically added by natural gas pipeline and/or local distribution companies. Three standardized natural gas desulfurization systems are offered, each optimized for pipeline natural gases containing one of these odorant blends.  The pipeline gas odorant composition listed for the base plant design (all mercaptan odorant blend) in Table 7 is the basis used for the standard plant.  Depending on the type and level of the odorants, desulfurizing absorber beds will need to be replaced every one to two years.  Since the absorbent is run cold, it is possible to shut the plant down, replace the absorbent, and restart the plant before the stack and hot components have cooled significantly.</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b/>
        </w:rPr>
      </w:pPr>
      <w:r>
        <w:rPr>
          <w:b/>
        </w:rPr>
        <w:t>Table 5</w:t>
      </w:r>
    </w:p>
    <w:p>
      <w:pPr>
        <w:pStyle w:val="Normal"/>
        <w:jc w:val="center"/>
        <w:rPr>
          <w:b/>
        </w:rPr>
      </w:pPr>
      <w:r>
        <w:rPr>
          <w:b/>
        </w:rPr>
        <w:t>Pipeline Natural Gas Requirements (Delivered To Site)</w:t>
      </w:r>
    </w:p>
    <w:p>
      <w:pPr>
        <w:pStyle w:val="Normal"/>
        <w:jc w:val="center"/>
        <w:rPr>
          <w:b/>
        </w:rPr>
      </w:pPr>
      <w:r>
        <w:rPr>
          <w:b/>
        </w:rPr>
      </w:r>
    </w:p>
    <w:tbl>
      <w:tblPr>
        <w:tblW w:w="7438" w:type="dxa"/>
        <w:jc w:val="start"/>
        <w:tblInd w:w="1170" w:type="dxa"/>
        <w:tblLayout w:type="fixed"/>
        <w:tblCellMar>
          <w:top w:w="0" w:type="dxa"/>
          <w:start w:w="0" w:type="dxa"/>
          <w:bottom w:w="0" w:type="dxa"/>
          <w:end w:w="0" w:type="dxa"/>
        </w:tblCellMar>
      </w:tblPr>
      <w:tblGrid>
        <w:gridCol w:w="2893"/>
        <w:gridCol w:w="1605"/>
        <w:gridCol w:w="705"/>
        <w:gridCol w:w="1335"/>
        <w:gridCol w:w="900"/>
      </w:tblGrid>
      <w:tr>
        <w:trPr/>
        <w:tc>
          <w:tcPr>
            <w:tcW w:w="2893"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jc w:val="center"/>
              <w:rPr>
                <w:color w:val="000000"/>
                <w:sz w:val="22"/>
              </w:rPr>
            </w:pPr>
            <w:r>
              <w:rPr>
                <w:color w:val="000000"/>
                <w:sz w:val="22"/>
              </w:rPr>
              <w:t>PROPERTY</w:t>
            </w:r>
          </w:p>
        </w:tc>
        <w:tc>
          <w:tcPr>
            <w:tcW w:w="231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jc w:val="center"/>
              <w:rPr>
                <w:color w:val="000000"/>
                <w:sz w:val="22"/>
              </w:rPr>
            </w:pPr>
            <w:r>
              <w:rPr>
                <w:color w:val="000000"/>
                <w:sz w:val="22"/>
              </w:rPr>
              <w:t>RANGE/LIMITS</w:t>
            </w:r>
          </w:p>
        </w:tc>
        <w:tc>
          <w:tcPr>
            <w:tcW w:w="2235" w:type="dxa"/>
            <w:gridSpan w:val="2"/>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jc w:val="center"/>
              <w:rPr>
                <w:color w:val="000000"/>
                <w:sz w:val="22"/>
              </w:rPr>
            </w:pPr>
            <w:r>
              <w:rPr>
                <w:color w:val="000000"/>
                <w:sz w:val="22"/>
              </w:rPr>
              <w:t>PERFORMANCE</w:t>
            </w:r>
          </w:p>
          <w:p>
            <w:pPr>
              <w:pStyle w:val="Normal"/>
              <w:widowControl w:val="false"/>
              <w:tabs>
                <w:tab w:val="left" w:pos="720" w:leader="none"/>
              </w:tabs>
              <w:jc w:val="center"/>
              <w:rPr>
                <w:color w:val="000000"/>
                <w:sz w:val="22"/>
              </w:rPr>
            </w:pPr>
            <w:r>
              <w:rPr>
                <w:color w:val="000000"/>
                <w:sz w:val="22"/>
              </w:rPr>
              <w:t>FUEL</w:t>
            </w:r>
          </w:p>
        </w:tc>
      </w:tr>
      <w:tr>
        <w:trPr/>
        <w:tc>
          <w:tcPr>
            <w:tcW w:w="2893" w:type="dxa"/>
            <w:tcBorders>
              <w:start w:val="single" w:sz="4" w:space="0" w:color="000000"/>
              <w:bottom w:val="single" w:sz="4" w:space="0" w:color="000000"/>
              <w:end w:val="single" w:sz="4" w:space="0" w:color="000000"/>
            </w:tcBorders>
          </w:tcPr>
          <w:p>
            <w:pPr>
              <w:pStyle w:val="Normal"/>
              <w:widowControl w:val="false"/>
              <w:tabs>
                <w:tab w:val="left" w:pos="720" w:leader="none"/>
              </w:tabs>
              <w:rPr>
                <w:color w:val="000000"/>
                <w:sz w:val="22"/>
              </w:rPr>
            </w:pPr>
            <w:r>
              <w:rPr>
                <w:color w:val="000000"/>
                <w:sz w:val="22"/>
                <w:u w:val="single"/>
              </w:rPr>
              <w:t>Composition</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Methane, vol %</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Ethane, vol %</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Propane vol %</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Butanes, vol %</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Pentanes+, vol %</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Unsaturated Hydrocarbons</w:t>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Inert Gases</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 Nitrogen, vol %</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 Carbon Dioxide, vol %</w:t>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Oxygen, vol %</w:t>
            </w:r>
          </w:p>
        </w:tc>
        <w:tc>
          <w:tcPr>
            <w:tcW w:w="1605" w:type="dxa"/>
            <w:tcBorders/>
          </w:tcPr>
          <w:p>
            <w:pPr>
              <w:pStyle w:val="Normal"/>
              <w:widowControl w:val="false"/>
              <w:tabs>
                <w:tab w:val="left" w:pos="720" w:leader="none"/>
              </w:tabs>
              <w:snapToGrid w:val="false"/>
              <w:jc w:val="end"/>
              <w:rPr>
                <w:color w:val="000000"/>
                <w:sz w:val="22"/>
              </w:rPr>
            </w:pPr>
            <w:r>
              <w:rPr>
                <w:color w:val="000000"/>
                <w:sz w:val="22"/>
              </w:rPr>
            </w:r>
          </w:p>
          <w:p>
            <w:pPr>
              <w:pStyle w:val="Normal"/>
              <w:widowControl w:val="false"/>
              <w:tabs>
                <w:tab w:val="left" w:pos="720" w:leader="none"/>
              </w:tabs>
              <w:jc w:val="end"/>
              <w:rPr>
                <w:color w:val="000000"/>
                <w:sz w:val="22"/>
              </w:rPr>
            </w:pPr>
            <w:r>
              <w:rPr>
                <w:color w:val="000000"/>
                <w:sz w:val="22"/>
              </w:rPr>
              <w:t>80 - 100</w:t>
            </w:r>
          </w:p>
          <w:p>
            <w:pPr>
              <w:pStyle w:val="Normal"/>
              <w:widowControl w:val="false"/>
              <w:tabs>
                <w:tab w:val="left" w:pos="720" w:leader="none"/>
              </w:tabs>
              <w:jc w:val="end"/>
              <w:rPr>
                <w:color w:val="000000"/>
                <w:sz w:val="22"/>
              </w:rPr>
            </w:pPr>
            <w:r>
              <w:rPr>
                <w:color w:val="000000"/>
                <w:sz w:val="22"/>
              </w:rPr>
              <w:t>0 - 10</w:t>
            </w:r>
          </w:p>
          <w:p>
            <w:pPr>
              <w:pStyle w:val="Normal"/>
              <w:widowControl w:val="false"/>
              <w:tabs>
                <w:tab w:val="left" w:pos="720" w:leader="none"/>
              </w:tabs>
              <w:jc w:val="end"/>
              <w:rPr>
                <w:color w:val="000000"/>
                <w:sz w:val="22"/>
              </w:rPr>
            </w:pPr>
            <w:r>
              <w:rPr>
                <w:color w:val="000000"/>
                <w:sz w:val="22"/>
              </w:rPr>
              <w:t>0 - 3</w:t>
            </w:r>
          </w:p>
          <w:p>
            <w:pPr>
              <w:pStyle w:val="Normal"/>
              <w:widowControl w:val="false"/>
              <w:tabs>
                <w:tab w:val="left" w:pos="720" w:leader="none"/>
              </w:tabs>
              <w:jc w:val="end"/>
              <w:rPr>
                <w:color w:val="000000"/>
                <w:sz w:val="22"/>
              </w:rPr>
            </w:pPr>
            <w:r>
              <w:rPr>
                <w:color w:val="000000"/>
                <w:sz w:val="22"/>
              </w:rPr>
              <w:t>0 – 1.25</w:t>
            </w:r>
          </w:p>
          <w:p>
            <w:pPr>
              <w:pStyle w:val="Normal"/>
              <w:widowControl w:val="false"/>
              <w:tabs>
                <w:tab w:val="left" w:pos="720" w:leader="none"/>
              </w:tabs>
              <w:jc w:val="end"/>
              <w:rPr>
                <w:color w:val="000000"/>
                <w:sz w:val="22"/>
              </w:rPr>
            </w:pPr>
            <w:r>
              <w:rPr>
                <w:color w:val="000000"/>
                <w:sz w:val="22"/>
              </w:rPr>
              <w:t>0 - 0.5</w:t>
            </w:r>
          </w:p>
          <w:p>
            <w:pPr>
              <w:pStyle w:val="Normal"/>
              <w:widowControl w:val="false"/>
              <w:tabs>
                <w:tab w:val="left" w:pos="720" w:leader="none"/>
              </w:tabs>
              <w:jc w:val="end"/>
              <w:rPr>
                <w:color w:val="000000"/>
                <w:sz w:val="22"/>
              </w:rPr>
            </w:pPr>
            <w:r>
              <w:rPr>
                <w:color w:val="000000"/>
                <w:sz w:val="22"/>
              </w:rPr>
              <w:t>None</w:t>
            </w:r>
          </w:p>
          <w:p>
            <w:pPr>
              <w:pStyle w:val="Normal"/>
              <w:widowControl w:val="false"/>
              <w:tabs>
                <w:tab w:val="left" w:pos="720" w:leader="none"/>
              </w:tabs>
              <w:jc w:val="end"/>
              <w:rPr>
                <w:color w:val="000000"/>
                <w:sz w:val="22"/>
              </w:rPr>
            </w:pPr>
            <w:r>
              <w:rPr>
                <w:color w:val="000000"/>
                <w:sz w:val="22"/>
              </w:rPr>
            </w:r>
          </w:p>
          <w:p>
            <w:pPr>
              <w:pStyle w:val="Normal"/>
              <w:widowControl w:val="false"/>
              <w:tabs>
                <w:tab w:val="left" w:pos="720" w:leader="none"/>
              </w:tabs>
              <w:jc w:val="end"/>
              <w:rPr>
                <w:color w:val="000000"/>
                <w:sz w:val="22"/>
              </w:rPr>
            </w:pPr>
            <w:r>
              <w:rPr>
                <w:color w:val="000000"/>
                <w:sz w:val="22"/>
              </w:rPr>
              <w:t>0 - 5</w:t>
            </w:r>
          </w:p>
          <w:p>
            <w:pPr>
              <w:pStyle w:val="Normal"/>
              <w:widowControl w:val="false"/>
              <w:tabs>
                <w:tab w:val="left" w:pos="720" w:leader="none"/>
              </w:tabs>
              <w:jc w:val="end"/>
              <w:rPr>
                <w:color w:val="000000"/>
                <w:sz w:val="22"/>
              </w:rPr>
            </w:pPr>
            <w:r>
              <w:rPr>
                <w:color w:val="000000"/>
                <w:sz w:val="22"/>
              </w:rPr>
              <w:t>0 - 3</w:t>
            </w:r>
          </w:p>
          <w:p>
            <w:pPr>
              <w:pStyle w:val="Normal"/>
              <w:widowControl w:val="false"/>
              <w:tabs>
                <w:tab w:val="left" w:pos="720" w:leader="none"/>
              </w:tabs>
              <w:jc w:val="end"/>
              <w:rPr>
                <w:color w:val="000000"/>
                <w:sz w:val="22"/>
              </w:rPr>
            </w:pPr>
            <w:r>
              <w:rPr>
                <w:color w:val="000000"/>
                <w:sz w:val="22"/>
              </w:rPr>
              <w:t>0 - 3</w:t>
            </w:r>
          </w:p>
          <w:p>
            <w:pPr>
              <w:pStyle w:val="Normal"/>
              <w:widowControl w:val="false"/>
              <w:tabs>
                <w:tab w:val="left" w:pos="720" w:leader="none"/>
              </w:tabs>
              <w:jc w:val="end"/>
              <w:rPr>
                <w:color w:val="000000"/>
                <w:sz w:val="22"/>
              </w:rPr>
            </w:pPr>
            <w:r>
              <w:rPr>
                <w:color w:val="000000"/>
                <w:sz w:val="22"/>
              </w:rPr>
            </w:r>
          </w:p>
          <w:p>
            <w:pPr>
              <w:pStyle w:val="Normal"/>
              <w:widowControl w:val="false"/>
              <w:tabs>
                <w:tab w:val="left" w:pos="720" w:leader="none"/>
              </w:tabs>
              <w:jc w:val="end"/>
              <w:rPr>
                <w:color w:val="000000"/>
                <w:sz w:val="22"/>
              </w:rPr>
            </w:pPr>
            <w:r>
              <w:rPr>
                <w:color w:val="000000"/>
                <w:sz w:val="22"/>
              </w:rPr>
              <w:t>0 - 0.2</w:t>
            </w:r>
          </w:p>
        </w:tc>
        <w:tc>
          <w:tcPr>
            <w:tcW w:w="705" w:type="dxa"/>
            <w:tcBorders/>
          </w:tcPr>
          <w:p>
            <w:pPr>
              <w:pStyle w:val="Normal"/>
              <w:widowControl w:val="false"/>
              <w:tabs>
                <w:tab w:val="left" w:pos="720" w:leader="none"/>
              </w:tabs>
              <w:snapToGrid w:val="false"/>
              <w:rPr>
                <w:color w:val="000000"/>
                <w:sz w:val="22"/>
              </w:rPr>
            </w:pPr>
            <w:r>
              <w:rPr>
                <w:color w:val="000000"/>
                <w:sz w:val="22"/>
              </w:rPr>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vertAlign w:val="superscript"/>
              </w:rPr>
            </w:pPr>
            <w:r>
              <w:rPr>
                <w:color w:val="000000"/>
                <w:sz w:val="22"/>
                <w:vertAlign w:val="superscript"/>
              </w:rPr>
              <w:t>(2)</w:t>
            </w:r>
          </w:p>
        </w:tc>
        <w:tc>
          <w:tcPr>
            <w:tcW w:w="1335" w:type="dxa"/>
            <w:tcBorders>
              <w:start w:val="single" w:sz="4" w:space="0" w:color="000000"/>
            </w:tcBorders>
          </w:tcPr>
          <w:p>
            <w:pPr>
              <w:pStyle w:val="Normal"/>
              <w:widowControl w:val="false"/>
              <w:tabs>
                <w:tab w:val="left" w:pos="720" w:leader="none"/>
              </w:tabs>
              <w:jc w:val="end"/>
              <w:rPr/>
            </w:pPr>
            <w:r>
              <w:rPr>
                <w:rFonts w:eastAsia="Arial"/>
                <w:color w:val="000000"/>
                <w:sz w:val="22"/>
              </w:rPr>
              <w:t xml:space="preserve"> </w:t>
            </w:r>
            <w:r>
              <w:rPr>
                <w:color w:val="000000"/>
                <w:sz w:val="22"/>
                <w:vertAlign w:val="superscript"/>
              </w:rPr>
              <w:t>(1)</w:t>
            </w:r>
          </w:p>
          <w:p>
            <w:pPr>
              <w:pStyle w:val="Normal"/>
              <w:widowControl w:val="false"/>
              <w:tabs>
                <w:tab w:val="left" w:pos="720" w:leader="none"/>
              </w:tabs>
              <w:jc w:val="end"/>
              <w:rPr>
                <w:color w:val="000000"/>
                <w:sz w:val="22"/>
              </w:rPr>
            </w:pPr>
            <w:r>
              <w:rPr>
                <w:color w:val="000000"/>
                <w:sz w:val="22"/>
              </w:rPr>
              <w:t>93.8</w:t>
            </w:r>
          </w:p>
          <w:p>
            <w:pPr>
              <w:pStyle w:val="Normal"/>
              <w:widowControl w:val="false"/>
              <w:tabs>
                <w:tab w:val="left" w:pos="720" w:leader="none"/>
              </w:tabs>
              <w:jc w:val="end"/>
              <w:rPr>
                <w:color w:val="000000"/>
                <w:sz w:val="22"/>
              </w:rPr>
            </w:pPr>
            <w:r>
              <w:rPr>
                <w:color w:val="000000"/>
                <w:sz w:val="22"/>
              </w:rPr>
              <w:t>1.9</w:t>
            </w:r>
          </w:p>
          <w:p>
            <w:pPr>
              <w:pStyle w:val="Normal"/>
              <w:widowControl w:val="false"/>
              <w:tabs>
                <w:tab w:val="left" w:pos="720" w:leader="none"/>
              </w:tabs>
              <w:jc w:val="end"/>
              <w:rPr>
                <w:color w:val="000000"/>
                <w:sz w:val="22"/>
              </w:rPr>
            </w:pPr>
            <w:r>
              <w:rPr>
                <w:color w:val="000000"/>
                <w:sz w:val="22"/>
              </w:rPr>
              <w:t>1.6</w:t>
            </w:r>
          </w:p>
          <w:p>
            <w:pPr>
              <w:pStyle w:val="Normal"/>
              <w:widowControl w:val="false"/>
              <w:tabs>
                <w:tab w:val="left" w:pos="720" w:leader="none"/>
              </w:tabs>
              <w:jc w:val="end"/>
              <w:rPr>
                <w:color w:val="000000"/>
                <w:sz w:val="22"/>
              </w:rPr>
            </w:pPr>
            <w:r>
              <w:rPr>
                <w:color w:val="000000"/>
                <w:sz w:val="22"/>
              </w:rPr>
              <w:t>0.5</w:t>
            </w:r>
          </w:p>
          <w:p>
            <w:pPr>
              <w:pStyle w:val="Normal"/>
              <w:widowControl w:val="false"/>
              <w:tabs>
                <w:tab w:val="left" w:pos="720" w:leader="none"/>
              </w:tabs>
              <w:jc w:val="end"/>
              <w:rPr>
                <w:color w:val="000000"/>
                <w:sz w:val="22"/>
              </w:rPr>
            </w:pPr>
            <w:r>
              <w:rPr>
                <w:color w:val="000000"/>
                <w:sz w:val="22"/>
              </w:rPr>
              <w:t>0.0</w:t>
            </w:r>
          </w:p>
          <w:p>
            <w:pPr>
              <w:pStyle w:val="Normal"/>
              <w:widowControl w:val="false"/>
              <w:tabs>
                <w:tab w:val="left" w:pos="720" w:leader="none"/>
              </w:tabs>
              <w:jc w:val="end"/>
              <w:rPr>
                <w:color w:val="000000"/>
                <w:sz w:val="22"/>
              </w:rPr>
            </w:pPr>
            <w:r>
              <w:rPr>
                <w:color w:val="000000"/>
                <w:sz w:val="22"/>
              </w:rPr>
              <w:t>None</w:t>
            </w:r>
          </w:p>
          <w:p>
            <w:pPr>
              <w:pStyle w:val="Normal"/>
              <w:widowControl w:val="false"/>
              <w:tabs>
                <w:tab w:val="left" w:pos="720" w:leader="none"/>
              </w:tabs>
              <w:jc w:val="end"/>
              <w:rPr>
                <w:color w:val="000000"/>
                <w:sz w:val="22"/>
              </w:rPr>
            </w:pPr>
            <w:r>
              <w:rPr>
                <w:color w:val="000000"/>
                <w:sz w:val="22"/>
              </w:rPr>
            </w:r>
          </w:p>
          <w:p>
            <w:pPr>
              <w:pStyle w:val="Normal"/>
              <w:widowControl w:val="false"/>
              <w:tabs>
                <w:tab w:val="left" w:pos="720" w:leader="none"/>
              </w:tabs>
              <w:jc w:val="end"/>
              <w:rPr>
                <w:color w:val="000000"/>
                <w:sz w:val="22"/>
              </w:rPr>
            </w:pPr>
            <w:r>
              <w:rPr>
                <w:color w:val="000000"/>
                <w:sz w:val="22"/>
              </w:rPr>
              <w:t>2.2</w:t>
            </w:r>
          </w:p>
          <w:p>
            <w:pPr>
              <w:pStyle w:val="Normal"/>
              <w:widowControl w:val="false"/>
              <w:tabs>
                <w:tab w:val="left" w:pos="720" w:leader="none"/>
              </w:tabs>
              <w:jc w:val="end"/>
              <w:rPr>
                <w:color w:val="000000"/>
                <w:sz w:val="22"/>
              </w:rPr>
            </w:pPr>
            <w:r>
              <w:rPr>
                <w:color w:val="000000"/>
                <w:sz w:val="22"/>
              </w:rPr>
              <w:t>1.1</w:t>
            </w:r>
          </w:p>
          <w:p>
            <w:pPr>
              <w:pStyle w:val="Normal"/>
              <w:widowControl w:val="false"/>
              <w:tabs>
                <w:tab w:val="left" w:pos="720" w:leader="none"/>
              </w:tabs>
              <w:jc w:val="end"/>
              <w:rPr>
                <w:color w:val="000000"/>
                <w:sz w:val="22"/>
              </w:rPr>
            </w:pPr>
            <w:r>
              <w:rPr>
                <w:color w:val="000000"/>
                <w:sz w:val="22"/>
              </w:rPr>
              <w:t>1.1</w:t>
            </w:r>
          </w:p>
          <w:p>
            <w:pPr>
              <w:pStyle w:val="Normal"/>
              <w:widowControl w:val="false"/>
              <w:tabs>
                <w:tab w:val="left" w:pos="720" w:leader="none"/>
              </w:tabs>
              <w:jc w:val="end"/>
              <w:rPr>
                <w:color w:val="000000"/>
                <w:sz w:val="22"/>
              </w:rPr>
            </w:pPr>
            <w:r>
              <w:rPr>
                <w:color w:val="000000"/>
                <w:sz w:val="22"/>
              </w:rPr>
            </w:r>
          </w:p>
          <w:p>
            <w:pPr>
              <w:pStyle w:val="Normal"/>
              <w:widowControl w:val="false"/>
              <w:tabs>
                <w:tab w:val="left" w:pos="720" w:leader="none"/>
              </w:tabs>
              <w:jc w:val="end"/>
              <w:rPr>
                <w:color w:val="000000"/>
                <w:sz w:val="22"/>
              </w:rPr>
            </w:pPr>
            <w:r>
              <w:rPr>
                <w:color w:val="000000"/>
                <w:sz w:val="22"/>
              </w:rPr>
              <w:t>0.00</w:t>
            </w:r>
          </w:p>
        </w:tc>
        <w:tc>
          <w:tcPr>
            <w:tcW w:w="900" w:type="dxa"/>
            <w:tcBorders>
              <w:end w:val="single" w:sz="4" w:space="0" w:color="000000"/>
            </w:tcBorders>
          </w:tcPr>
          <w:p>
            <w:pPr>
              <w:pStyle w:val="Normal"/>
              <w:widowControl w:val="false"/>
              <w:tabs>
                <w:tab w:val="left" w:pos="720" w:leader="none"/>
              </w:tabs>
              <w:snapToGrid w:val="false"/>
              <w:rPr>
                <w:color w:val="000000"/>
                <w:sz w:val="22"/>
              </w:rPr>
            </w:pPr>
            <w:r>
              <w:rPr>
                <w:color w:val="000000"/>
                <w:sz w:val="22"/>
              </w:rPr>
            </w:r>
          </w:p>
        </w:tc>
      </w:tr>
      <w:tr>
        <w:trPr/>
        <w:tc>
          <w:tcPr>
            <w:tcW w:w="2893"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rPr>
                <w:color w:val="000000"/>
                <w:sz w:val="22"/>
              </w:rPr>
            </w:pPr>
            <w:r>
              <w:rPr>
                <w:color w:val="000000"/>
                <w:sz w:val="22"/>
                <w:u w:val="single"/>
              </w:rPr>
              <w:t>Impurities</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Total Sulfur, ppmv</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grains/100 SCF</w:t>
            </w:r>
          </w:p>
          <w:p>
            <w:pPr>
              <w:pStyle w:val="Normal"/>
              <w:widowControl w:val="false"/>
              <w:tabs>
                <w:tab w:val="left" w:pos="720" w:leader="none"/>
              </w:tabs>
              <w:rPr/>
            </w:pPr>
            <w:r>
              <w:rPr>
                <w:rFonts w:eastAsia="Arial"/>
                <w:color w:val="000000"/>
                <w:sz w:val="22"/>
              </w:rPr>
              <w:t xml:space="preserve">  </w:t>
            </w:r>
            <w:r>
              <w:rPr>
                <w:color w:val="000000"/>
                <w:sz w:val="22"/>
              </w:rPr>
              <w:t>- H</w:t>
            </w:r>
            <w:r>
              <w:rPr>
                <w:color w:val="000000"/>
                <w:position w:val="-5"/>
                <w:sz w:val="12"/>
              </w:rPr>
              <w:t>2</w:t>
            </w:r>
            <w:r>
              <w:rPr>
                <w:color w:val="000000"/>
                <w:sz w:val="22"/>
              </w:rPr>
              <w:t>S, ppmv</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 COS, ppmv</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 Odorants, ppmv</w:t>
            </w:r>
          </w:p>
          <w:p>
            <w:pPr>
              <w:pStyle w:val="Normal"/>
              <w:widowControl w:val="false"/>
              <w:tabs>
                <w:tab w:val="left" w:pos="720" w:leader="none"/>
              </w:tabs>
              <w:rPr>
                <w:rFonts w:eastAsia="Arial"/>
                <w:color w:val="000000"/>
                <w:sz w:val="22"/>
              </w:rPr>
            </w:pPr>
            <w:r>
              <w:rPr>
                <w:rFonts w:eastAsia="Arial"/>
                <w:color w:val="000000"/>
                <w:sz w:val="22"/>
              </w:rPr>
              <w:t xml:space="preserve"> </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Halogens (Cl, etc)</w:t>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Dust/Gum/Solid Matter</w:t>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Water, lb/MMscf</w:t>
            </w:r>
          </w:p>
        </w:tc>
        <w:tc>
          <w:tcPr>
            <w:tcW w:w="1605" w:type="dxa"/>
            <w:tcBorders/>
          </w:tcPr>
          <w:p>
            <w:pPr>
              <w:pStyle w:val="Normal"/>
              <w:widowControl w:val="false"/>
              <w:tabs>
                <w:tab w:val="left" w:pos="720" w:leader="none"/>
              </w:tabs>
              <w:snapToGrid w:val="false"/>
              <w:jc w:val="end"/>
              <w:rPr>
                <w:color w:val="000000"/>
                <w:sz w:val="22"/>
              </w:rPr>
            </w:pPr>
            <w:r>
              <w:rPr>
                <w:color w:val="000000"/>
                <w:sz w:val="22"/>
              </w:rPr>
            </w:r>
          </w:p>
          <w:p>
            <w:pPr>
              <w:pStyle w:val="Normal"/>
              <w:widowControl w:val="false"/>
              <w:tabs>
                <w:tab w:val="left" w:pos="720" w:leader="none"/>
              </w:tabs>
              <w:jc w:val="end"/>
              <w:rPr>
                <w:color w:val="000000"/>
                <w:sz w:val="22"/>
              </w:rPr>
            </w:pPr>
            <w:r>
              <w:rPr>
                <w:color w:val="000000"/>
                <w:sz w:val="22"/>
              </w:rPr>
              <w:t>0 - 12</w:t>
            </w:r>
          </w:p>
          <w:p>
            <w:pPr>
              <w:pStyle w:val="Normal"/>
              <w:widowControl w:val="false"/>
              <w:tabs>
                <w:tab w:val="left" w:pos="720" w:leader="none"/>
              </w:tabs>
              <w:jc w:val="end"/>
              <w:rPr>
                <w:color w:val="000000"/>
                <w:sz w:val="22"/>
              </w:rPr>
            </w:pPr>
            <w:r>
              <w:rPr>
                <w:color w:val="000000"/>
                <w:sz w:val="22"/>
              </w:rPr>
              <w:t>0 - 0.7</w:t>
            </w:r>
          </w:p>
          <w:p>
            <w:pPr>
              <w:pStyle w:val="Normal"/>
              <w:widowControl w:val="false"/>
              <w:tabs>
                <w:tab w:val="left" w:pos="720" w:leader="none"/>
              </w:tabs>
              <w:jc w:val="end"/>
              <w:rPr>
                <w:color w:val="000000"/>
                <w:sz w:val="22"/>
              </w:rPr>
            </w:pPr>
            <w:r>
              <w:rPr>
                <w:color w:val="000000"/>
                <w:sz w:val="22"/>
              </w:rPr>
              <w:t>0 - 0.8</w:t>
            </w:r>
          </w:p>
          <w:p>
            <w:pPr>
              <w:pStyle w:val="Normal"/>
              <w:widowControl w:val="false"/>
              <w:tabs>
                <w:tab w:val="left" w:pos="720" w:leader="none"/>
              </w:tabs>
              <w:jc w:val="end"/>
              <w:rPr>
                <w:color w:val="000000"/>
                <w:sz w:val="22"/>
              </w:rPr>
            </w:pPr>
            <w:r>
              <w:rPr>
                <w:color w:val="000000"/>
                <w:sz w:val="22"/>
              </w:rPr>
              <w:t>0 - 2</w:t>
            </w:r>
          </w:p>
          <w:p>
            <w:pPr>
              <w:pStyle w:val="Normal"/>
              <w:widowControl w:val="false"/>
              <w:tabs>
                <w:tab w:val="left" w:pos="720" w:leader="none"/>
              </w:tabs>
              <w:jc w:val="end"/>
              <w:rPr>
                <w:color w:val="000000"/>
                <w:sz w:val="22"/>
              </w:rPr>
            </w:pPr>
            <w:r>
              <w:rPr>
                <w:color w:val="000000"/>
                <w:sz w:val="22"/>
              </w:rPr>
              <w:t>0 - 12</w:t>
            </w:r>
          </w:p>
          <w:p>
            <w:pPr>
              <w:pStyle w:val="Normal"/>
              <w:widowControl w:val="false"/>
              <w:tabs>
                <w:tab w:val="left" w:pos="720" w:leader="none"/>
              </w:tabs>
              <w:jc w:val="end"/>
              <w:rPr>
                <w:color w:val="000000"/>
                <w:sz w:val="22"/>
              </w:rPr>
            </w:pPr>
            <w:r>
              <w:rPr>
                <w:color w:val="000000"/>
                <w:sz w:val="22"/>
              </w:rPr>
            </w:r>
          </w:p>
          <w:p>
            <w:pPr>
              <w:pStyle w:val="Normal"/>
              <w:widowControl w:val="false"/>
              <w:tabs>
                <w:tab w:val="left" w:pos="720" w:leader="none"/>
              </w:tabs>
              <w:jc w:val="end"/>
              <w:rPr>
                <w:color w:val="000000"/>
                <w:sz w:val="22"/>
              </w:rPr>
            </w:pPr>
            <w:r>
              <w:rPr>
                <w:color w:val="000000"/>
                <w:sz w:val="22"/>
              </w:rPr>
              <w:t>None</w:t>
            </w:r>
          </w:p>
          <w:p>
            <w:pPr>
              <w:pStyle w:val="Normal"/>
              <w:widowControl w:val="false"/>
              <w:tabs>
                <w:tab w:val="left" w:pos="720" w:leader="none"/>
              </w:tabs>
              <w:jc w:val="end"/>
              <w:rPr>
                <w:color w:val="000000"/>
                <w:sz w:val="22"/>
              </w:rPr>
            </w:pPr>
            <w:r>
              <w:rPr>
                <w:color w:val="000000"/>
                <w:sz w:val="22"/>
              </w:rPr>
            </w:r>
          </w:p>
          <w:p>
            <w:pPr>
              <w:pStyle w:val="Normal"/>
              <w:widowControl w:val="false"/>
              <w:tabs>
                <w:tab w:val="left" w:pos="720" w:leader="none"/>
              </w:tabs>
              <w:jc w:val="end"/>
              <w:rPr>
                <w:color w:val="000000"/>
                <w:sz w:val="22"/>
              </w:rPr>
            </w:pPr>
            <w:r>
              <w:rPr>
                <w:color w:val="000000"/>
                <w:sz w:val="22"/>
              </w:rPr>
              <w:t>None</w:t>
            </w:r>
          </w:p>
          <w:p>
            <w:pPr>
              <w:pStyle w:val="Normal"/>
              <w:widowControl w:val="false"/>
              <w:tabs>
                <w:tab w:val="left" w:pos="720" w:leader="none"/>
              </w:tabs>
              <w:jc w:val="end"/>
              <w:rPr>
                <w:color w:val="000000"/>
                <w:sz w:val="22"/>
              </w:rPr>
            </w:pPr>
            <w:r>
              <w:rPr>
                <w:color w:val="000000"/>
                <w:sz w:val="22"/>
              </w:rPr>
            </w:r>
          </w:p>
          <w:p>
            <w:pPr>
              <w:pStyle w:val="Normal"/>
              <w:widowControl w:val="false"/>
              <w:tabs>
                <w:tab w:val="left" w:pos="720" w:leader="none"/>
              </w:tabs>
              <w:jc w:val="end"/>
              <w:rPr>
                <w:color w:val="000000"/>
                <w:sz w:val="22"/>
              </w:rPr>
            </w:pPr>
            <w:r>
              <w:rPr>
                <w:color w:val="000000"/>
                <w:sz w:val="22"/>
              </w:rPr>
              <w:t>0 - 7</w:t>
            </w:r>
          </w:p>
        </w:tc>
        <w:tc>
          <w:tcPr>
            <w:tcW w:w="705" w:type="dxa"/>
            <w:tcBorders/>
          </w:tcPr>
          <w:p>
            <w:pPr>
              <w:pStyle w:val="Normal"/>
              <w:widowControl w:val="false"/>
              <w:tabs>
                <w:tab w:val="left" w:pos="720" w:leader="none"/>
              </w:tabs>
              <w:snapToGrid w:val="false"/>
              <w:rPr>
                <w:color w:val="000000"/>
                <w:sz w:val="22"/>
              </w:rPr>
            </w:pPr>
            <w:r>
              <w:rPr>
                <w:color w:val="000000"/>
                <w:sz w:val="22"/>
              </w:rPr>
            </w:r>
          </w:p>
          <w:p>
            <w:pPr>
              <w:pStyle w:val="Normal"/>
              <w:widowControl w:val="false"/>
              <w:tabs>
                <w:tab w:val="left" w:pos="720" w:leader="none"/>
              </w:tabs>
              <w:rPr>
                <w:color w:val="000000"/>
                <w:sz w:val="22"/>
                <w:vertAlign w:val="superscript"/>
              </w:rPr>
            </w:pPr>
            <w:r>
              <w:rPr>
                <w:color w:val="000000"/>
                <w:sz w:val="22"/>
                <w:vertAlign w:val="superscript"/>
              </w:rPr>
              <w:t>(3)</w:t>
            </w:r>
          </w:p>
        </w:tc>
        <w:tc>
          <w:tcPr>
            <w:tcW w:w="1335" w:type="dxa"/>
            <w:tcBorders>
              <w:start w:val="single" w:sz="4" w:space="0" w:color="000000"/>
            </w:tcBorders>
          </w:tcPr>
          <w:p>
            <w:pPr>
              <w:pStyle w:val="Normal"/>
              <w:widowControl w:val="false"/>
              <w:tabs>
                <w:tab w:val="left" w:pos="720" w:leader="none"/>
              </w:tabs>
              <w:snapToGrid w:val="false"/>
              <w:jc w:val="center"/>
              <w:rPr>
                <w:color w:val="000000"/>
                <w:sz w:val="22"/>
                <w:vertAlign w:val="superscript"/>
              </w:rPr>
            </w:pPr>
            <w:r>
              <w:rPr>
                <w:color w:val="000000"/>
                <w:sz w:val="22"/>
                <w:vertAlign w:val="superscript"/>
              </w:rPr>
            </w:r>
          </w:p>
          <w:p>
            <w:pPr>
              <w:pStyle w:val="Normal"/>
              <w:widowControl w:val="false"/>
              <w:tabs>
                <w:tab w:val="left" w:pos="720" w:leader="none"/>
              </w:tabs>
              <w:jc w:val="end"/>
              <w:rPr>
                <w:color w:val="000000"/>
                <w:sz w:val="22"/>
              </w:rPr>
            </w:pPr>
            <w:r>
              <w:rPr>
                <w:color w:val="000000"/>
                <w:sz w:val="22"/>
              </w:rPr>
              <w:t>6</w:t>
            </w:r>
          </w:p>
          <w:p>
            <w:pPr>
              <w:pStyle w:val="Normal"/>
              <w:widowControl w:val="false"/>
              <w:tabs>
                <w:tab w:val="left" w:pos="720" w:leader="none"/>
              </w:tabs>
              <w:jc w:val="end"/>
              <w:rPr>
                <w:color w:val="000000"/>
                <w:sz w:val="22"/>
              </w:rPr>
            </w:pPr>
            <w:r>
              <w:rPr>
                <w:color w:val="000000"/>
                <w:sz w:val="22"/>
              </w:rPr>
              <w:t>0.36</w:t>
            </w:r>
          </w:p>
          <w:p>
            <w:pPr>
              <w:pStyle w:val="Normal"/>
              <w:widowControl w:val="false"/>
              <w:tabs>
                <w:tab w:val="left" w:pos="720" w:leader="none"/>
              </w:tabs>
              <w:jc w:val="end"/>
              <w:rPr>
                <w:color w:val="000000"/>
                <w:sz w:val="22"/>
              </w:rPr>
            </w:pPr>
            <w:r>
              <w:rPr>
                <w:color w:val="000000"/>
                <w:sz w:val="22"/>
              </w:rPr>
              <w:t>0</w:t>
            </w:r>
          </w:p>
          <w:p>
            <w:pPr>
              <w:pStyle w:val="Normal"/>
              <w:widowControl w:val="false"/>
              <w:tabs>
                <w:tab w:val="left" w:pos="720" w:leader="none"/>
              </w:tabs>
              <w:jc w:val="end"/>
              <w:rPr>
                <w:color w:val="000000"/>
                <w:sz w:val="22"/>
              </w:rPr>
            </w:pPr>
            <w:r>
              <w:rPr>
                <w:color w:val="000000"/>
                <w:sz w:val="22"/>
              </w:rPr>
              <w:t>0</w:t>
            </w:r>
          </w:p>
          <w:p>
            <w:pPr>
              <w:pStyle w:val="Normal"/>
              <w:widowControl w:val="false"/>
              <w:tabs>
                <w:tab w:val="left" w:pos="720" w:leader="none"/>
              </w:tabs>
              <w:jc w:val="end"/>
              <w:rPr>
                <w:color w:val="000000"/>
                <w:sz w:val="22"/>
              </w:rPr>
            </w:pPr>
            <w:r>
              <w:rPr>
                <w:color w:val="000000"/>
                <w:sz w:val="22"/>
              </w:rPr>
              <w:t>6</w:t>
            </w:r>
          </w:p>
          <w:p>
            <w:pPr>
              <w:pStyle w:val="Normal"/>
              <w:widowControl w:val="false"/>
              <w:tabs>
                <w:tab w:val="left" w:pos="720" w:leader="none"/>
              </w:tabs>
              <w:jc w:val="end"/>
              <w:rPr>
                <w:color w:val="000000"/>
                <w:sz w:val="22"/>
              </w:rPr>
            </w:pPr>
            <w:r>
              <w:rPr>
                <w:color w:val="000000"/>
                <w:sz w:val="22"/>
              </w:rPr>
            </w:r>
          </w:p>
          <w:p>
            <w:pPr>
              <w:pStyle w:val="Normal"/>
              <w:widowControl w:val="false"/>
              <w:tabs>
                <w:tab w:val="left" w:pos="720" w:leader="none"/>
              </w:tabs>
              <w:jc w:val="end"/>
              <w:rPr>
                <w:color w:val="000000"/>
                <w:sz w:val="22"/>
              </w:rPr>
            </w:pPr>
            <w:r>
              <w:rPr>
                <w:color w:val="000000"/>
                <w:sz w:val="22"/>
              </w:rPr>
              <w:t>None</w:t>
            </w:r>
          </w:p>
          <w:p>
            <w:pPr>
              <w:pStyle w:val="Normal"/>
              <w:widowControl w:val="false"/>
              <w:tabs>
                <w:tab w:val="left" w:pos="720" w:leader="none"/>
              </w:tabs>
              <w:jc w:val="end"/>
              <w:rPr>
                <w:color w:val="000000"/>
                <w:sz w:val="22"/>
              </w:rPr>
            </w:pPr>
            <w:r>
              <w:rPr>
                <w:color w:val="000000"/>
                <w:sz w:val="22"/>
              </w:rPr>
            </w:r>
          </w:p>
          <w:p>
            <w:pPr>
              <w:pStyle w:val="Normal"/>
              <w:widowControl w:val="false"/>
              <w:tabs>
                <w:tab w:val="left" w:pos="720" w:leader="none"/>
              </w:tabs>
              <w:jc w:val="end"/>
              <w:rPr>
                <w:color w:val="000000"/>
                <w:sz w:val="22"/>
              </w:rPr>
            </w:pPr>
            <w:r>
              <w:rPr>
                <w:color w:val="000000"/>
                <w:sz w:val="22"/>
              </w:rPr>
              <w:t>None</w:t>
            </w:r>
          </w:p>
          <w:p>
            <w:pPr>
              <w:pStyle w:val="Normal"/>
              <w:widowControl w:val="false"/>
              <w:tabs>
                <w:tab w:val="left" w:pos="720" w:leader="none"/>
              </w:tabs>
              <w:jc w:val="end"/>
              <w:rPr>
                <w:color w:val="000000"/>
                <w:sz w:val="22"/>
              </w:rPr>
            </w:pPr>
            <w:r>
              <w:rPr>
                <w:color w:val="000000"/>
                <w:sz w:val="22"/>
              </w:rPr>
            </w:r>
          </w:p>
          <w:p>
            <w:pPr>
              <w:pStyle w:val="Normal"/>
              <w:widowControl w:val="false"/>
              <w:tabs>
                <w:tab w:val="left" w:pos="720" w:leader="none"/>
              </w:tabs>
              <w:jc w:val="end"/>
              <w:rPr>
                <w:color w:val="000000"/>
                <w:sz w:val="22"/>
              </w:rPr>
            </w:pPr>
            <w:r>
              <w:rPr>
                <w:color w:val="000000"/>
                <w:sz w:val="22"/>
              </w:rPr>
              <w:t>Dry</w:t>
            </w:r>
          </w:p>
        </w:tc>
        <w:tc>
          <w:tcPr>
            <w:tcW w:w="900" w:type="dxa"/>
            <w:tcBorders>
              <w:end w:val="single" w:sz="4" w:space="0" w:color="000000"/>
            </w:tcBorders>
          </w:tcPr>
          <w:p>
            <w:pPr>
              <w:pStyle w:val="Normal"/>
              <w:widowControl w:val="false"/>
              <w:tabs>
                <w:tab w:val="left" w:pos="720" w:leader="none"/>
              </w:tabs>
              <w:snapToGrid w:val="false"/>
              <w:rPr>
                <w:color w:val="000000"/>
                <w:sz w:val="22"/>
              </w:rPr>
            </w:pPr>
            <w:r>
              <w:rPr>
                <w:color w:val="000000"/>
                <w:sz w:val="22"/>
              </w:rPr>
            </w:r>
          </w:p>
          <w:p>
            <w:pPr>
              <w:pStyle w:val="Normal"/>
              <w:widowControl w:val="false"/>
              <w:tabs>
                <w:tab w:val="left" w:pos="720" w:leader="none"/>
              </w:tabs>
              <w:rPr>
                <w:color w:val="000000"/>
                <w:sz w:val="22"/>
                <w:vertAlign w:val="superscript"/>
              </w:rPr>
            </w:pPr>
            <w:r>
              <w:rPr>
                <w:color w:val="000000"/>
                <w:sz w:val="22"/>
                <w:vertAlign w:val="superscript"/>
              </w:rPr>
              <w:t>(4)</w:t>
            </w:r>
          </w:p>
        </w:tc>
      </w:tr>
      <w:tr>
        <w:trPr/>
        <w:tc>
          <w:tcPr>
            <w:tcW w:w="2893"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rPr>
                <w:color w:val="000000"/>
                <w:sz w:val="22"/>
              </w:rPr>
            </w:pPr>
            <w:r>
              <w:rPr>
                <w:color w:val="000000"/>
                <w:sz w:val="22"/>
                <w:u w:val="single"/>
              </w:rPr>
              <w:t>Physical Properties</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Heating Value, Range</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 LHV, Btu/scf</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 HHV, Btu/scf</w:t>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Pressure, psig</w:t>
            </w:r>
          </w:p>
        </w:tc>
        <w:tc>
          <w:tcPr>
            <w:tcW w:w="1605" w:type="dxa"/>
            <w:tcBorders>
              <w:bottom w:val="single" w:sz="4" w:space="0" w:color="000000"/>
            </w:tcBorders>
          </w:tcPr>
          <w:p>
            <w:pPr>
              <w:pStyle w:val="Normal"/>
              <w:widowControl w:val="false"/>
              <w:tabs>
                <w:tab w:val="left" w:pos="720" w:leader="none"/>
              </w:tabs>
              <w:snapToGrid w:val="false"/>
              <w:jc w:val="end"/>
              <w:rPr>
                <w:color w:val="000000"/>
                <w:sz w:val="22"/>
              </w:rPr>
            </w:pPr>
            <w:r>
              <w:rPr>
                <w:color w:val="000000"/>
                <w:sz w:val="22"/>
              </w:rPr>
            </w:r>
          </w:p>
          <w:p>
            <w:pPr>
              <w:pStyle w:val="Normal"/>
              <w:widowControl w:val="false"/>
              <w:tabs>
                <w:tab w:val="left" w:pos="720" w:leader="none"/>
              </w:tabs>
              <w:jc w:val="end"/>
              <w:rPr>
                <w:color w:val="000000"/>
                <w:sz w:val="22"/>
              </w:rPr>
            </w:pPr>
            <w:r>
              <w:rPr>
                <w:color w:val="000000"/>
                <w:sz w:val="22"/>
              </w:rPr>
            </w:r>
          </w:p>
          <w:p>
            <w:pPr>
              <w:pStyle w:val="Normal"/>
              <w:widowControl w:val="false"/>
              <w:tabs>
                <w:tab w:val="left" w:pos="720" w:leader="none"/>
              </w:tabs>
              <w:jc w:val="end"/>
              <w:rPr>
                <w:color w:val="000000"/>
                <w:sz w:val="22"/>
              </w:rPr>
            </w:pPr>
            <w:r>
              <w:rPr>
                <w:color w:val="000000"/>
                <w:sz w:val="22"/>
              </w:rPr>
              <w:t>870 – 1000</w:t>
            </w:r>
          </w:p>
          <w:p>
            <w:pPr>
              <w:pStyle w:val="Normal"/>
              <w:widowControl w:val="false"/>
              <w:tabs>
                <w:tab w:val="left" w:pos="720" w:leader="none"/>
              </w:tabs>
              <w:jc w:val="end"/>
              <w:rPr>
                <w:color w:val="000000"/>
                <w:sz w:val="22"/>
              </w:rPr>
            </w:pPr>
            <w:r>
              <w:rPr>
                <w:color w:val="000000"/>
                <w:sz w:val="22"/>
              </w:rPr>
              <w:t>970 – 1100</w:t>
            </w:r>
          </w:p>
          <w:p>
            <w:pPr>
              <w:pStyle w:val="Normal"/>
              <w:widowControl w:val="false"/>
              <w:tabs>
                <w:tab w:val="left" w:pos="720" w:leader="none"/>
              </w:tabs>
              <w:jc w:val="end"/>
              <w:rPr>
                <w:color w:val="000000"/>
                <w:sz w:val="22"/>
              </w:rPr>
            </w:pPr>
            <w:r>
              <w:rPr>
                <w:color w:val="000000"/>
                <w:sz w:val="22"/>
              </w:rPr>
            </w:r>
          </w:p>
          <w:p>
            <w:pPr>
              <w:pStyle w:val="Normal"/>
              <w:widowControl w:val="false"/>
              <w:tabs>
                <w:tab w:val="left" w:pos="720" w:leader="none"/>
              </w:tabs>
              <w:jc w:val="end"/>
              <w:rPr>
                <w:color w:val="000000"/>
                <w:sz w:val="22"/>
              </w:rPr>
            </w:pPr>
            <w:r>
              <w:rPr>
                <w:color w:val="000000"/>
                <w:sz w:val="22"/>
              </w:rPr>
              <w:t xml:space="preserve">15 </w:t>
            </w:r>
          </w:p>
        </w:tc>
        <w:tc>
          <w:tcPr>
            <w:tcW w:w="705" w:type="dxa"/>
            <w:tcBorders>
              <w:bottom w:val="single" w:sz="4" w:space="0" w:color="000000"/>
            </w:tcBorders>
          </w:tcPr>
          <w:p>
            <w:pPr>
              <w:pStyle w:val="Normal"/>
              <w:widowControl w:val="false"/>
              <w:tabs>
                <w:tab w:val="left" w:pos="720" w:leader="none"/>
              </w:tabs>
              <w:snapToGrid w:val="false"/>
              <w:rPr>
                <w:color w:val="000000"/>
                <w:sz w:val="22"/>
              </w:rPr>
            </w:pPr>
            <w:r>
              <w:rPr>
                <w:color w:val="000000"/>
                <w:sz w:val="22"/>
              </w:rPr>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color w:val="000000"/>
                <w:sz w:val="22"/>
              </w:rPr>
            </w:r>
          </w:p>
        </w:tc>
        <w:tc>
          <w:tcPr>
            <w:tcW w:w="1335" w:type="dxa"/>
            <w:tcBorders>
              <w:start w:val="single" w:sz="4" w:space="0" w:color="000000"/>
              <w:bottom w:val="single" w:sz="4" w:space="0" w:color="000000"/>
            </w:tcBorders>
          </w:tcPr>
          <w:p>
            <w:pPr>
              <w:pStyle w:val="Normal"/>
              <w:widowControl w:val="false"/>
              <w:tabs>
                <w:tab w:val="left" w:pos="720" w:leader="none"/>
              </w:tabs>
              <w:jc w:val="end"/>
              <w:rPr>
                <w:color w:val="000000"/>
                <w:sz w:val="22"/>
              </w:rPr>
            </w:pPr>
            <w:r>
              <w:rPr>
                <w:color w:val="000000"/>
                <w:sz w:val="22"/>
              </w:rPr>
              <w:t>(1)</w:t>
            </w:r>
          </w:p>
          <w:p>
            <w:pPr>
              <w:pStyle w:val="Normal"/>
              <w:widowControl w:val="false"/>
              <w:tabs>
                <w:tab w:val="left" w:pos="720" w:leader="none"/>
              </w:tabs>
              <w:jc w:val="end"/>
              <w:rPr>
                <w:color w:val="000000"/>
                <w:sz w:val="22"/>
              </w:rPr>
            </w:pPr>
            <w:r>
              <w:rPr>
                <w:color w:val="000000"/>
                <w:sz w:val="22"/>
              </w:rPr>
            </w:r>
          </w:p>
          <w:p>
            <w:pPr>
              <w:pStyle w:val="Normal"/>
              <w:widowControl w:val="false"/>
              <w:tabs>
                <w:tab w:val="left" w:pos="720" w:leader="none"/>
              </w:tabs>
              <w:jc w:val="end"/>
              <w:rPr>
                <w:color w:val="000000"/>
                <w:sz w:val="22"/>
              </w:rPr>
            </w:pPr>
            <w:r>
              <w:rPr>
                <w:color w:val="000000"/>
                <w:sz w:val="22"/>
              </w:rPr>
              <w:t>933</w:t>
            </w:r>
          </w:p>
          <w:p>
            <w:pPr>
              <w:pStyle w:val="Normal"/>
              <w:widowControl w:val="false"/>
              <w:tabs>
                <w:tab w:val="left" w:pos="720" w:leader="none"/>
              </w:tabs>
              <w:jc w:val="end"/>
              <w:rPr>
                <w:color w:val="000000"/>
                <w:sz w:val="22"/>
              </w:rPr>
            </w:pPr>
            <w:r>
              <w:rPr>
                <w:color w:val="000000"/>
                <w:sz w:val="22"/>
              </w:rPr>
              <w:t>1035</w:t>
            </w:r>
          </w:p>
          <w:p>
            <w:pPr>
              <w:pStyle w:val="Normal"/>
              <w:widowControl w:val="false"/>
              <w:tabs>
                <w:tab w:val="left" w:pos="720" w:leader="none"/>
              </w:tabs>
              <w:jc w:val="end"/>
              <w:rPr>
                <w:color w:val="000000"/>
                <w:sz w:val="22"/>
              </w:rPr>
            </w:pPr>
            <w:r>
              <w:rPr>
                <w:color w:val="000000"/>
                <w:sz w:val="22"/>
              </w:rPr>
            </w:r>
          </w:p>
          <w:p>
            <w:pPr>
              <w:pStyle w:val="Normal"/>
              <w:widowControl w:val="false"/>
              <w:tabs>
                <w:tab w:val="left" w:pos="720" w:leader="none"/>
              </w:tabs>
              <w:jc w:val="end"/>
              <w:rPr>
                <w:color w:val="000000"/>
                <w:sz w:val="22"/>
              </w:rPr>
            </w:pPr>
            <w:r>
              <w:rPr>
                <w:color w:val="000000"/>
                <w:sz w:val="22"/>
              </w:rPr>
              <w:t>15</w:t>
            </w:r>
          </w:p>
        </w:tc>
        <w:tc>
          <w:tcPr>
            <w:tcW w:w="900" w:type="dxa"/>
            <w:tcBorders>
              <w:bottom w:val="single" w:sz="4" w:space="0" w:color="000000"/>
              <w:end w:val="single" w:sz="4" w:space="0" w:color="000000"/>
            </w:tcBorders>
          </w:tcPr>
          <w:p>
            <w:pPr>
              <w:pStyle w:val="Normal"/>
              <w:widowControl w:val="false"/>
              <w:tabs>
                <w:tab w:val="left" w:pos="720" w:leader="none"/>
              </w:tabs>
              <w:snapToGrid w:val="false"/>
              <w:rPr>
                <w:color w:val="000000"/>
                <w:sz w:val="22"/>
              </w:rPr>
            </w:pPr>
            <w:r>
              <w:rPr>
                <w:color w:val="000000"/>
                <w:sz w:val="22"/>
              </w:rPr>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vertAlign w:val="superscript"/>
              </w:rPr>
            </w:pPr>
            <w:r>
              <w:rPr>
                <w:color w:val="000000"/>
                <w:sz w:val="22"/>
                <w:vertAlign w:val="superscript"/>
              </w:rPr>
              <w:t>(5)</w:t>
            </w:r>
          </w:p>
        </w:tc>
      </w:tr>
    </w:tbl>
    <w:p>
      <w:pPr>
        <w:pStyle w:val="Normal"/>
        <w:jc w:val="both"/>
        <w:rPr>
          <w:sz w:val="16"/>
        </w:rPr>
      </w:pPr>
      <w:r>
        <w:rPr>
          <w:sz w:val="16"/>
        </w:rPr>
      </w:r>
    </w:p>
    <w:p>
      <w:pPr>
        <w:pStyle w:val="Normal"/>
        <w:jc w:val="both"/>
        <w:rPr>
          <w:sz w:val="16"/>
        </w:rPr>
      </w:pPr>
      <w:r>
        <w:rPr>
          <w:sz w:val="16"/>
        </w:rPr>
        <w:t>Notes for Table 5</w:t>
      </w:r>
    </w:p>
    <w:p>
      <w:pPr>
        <w:pStyle w:val="Normal"/>
        <w:jc w:val="both"/>
        <w:rPr>
          <w:sz w:val="16"/>
        </w:rPr>
      </w:pPr>
      <w:r>
        <w:rPr>
          <w:sz w:val="16"/>
        </w:rPr>
        <w:t>(1)   The composition and heating value of the performance natural gas are the mean values from a survey of natural gas in 26 major metropolitan areas of the U.S. (from GRI report GRI-92/0123, March 1992).  Deviations from this specification will impact plant performance.</w:t>
      </w:r>
    </w:p>
    <w:p>
      <w:pPr>
        <w:pStyle w:val="Normal"/>
        <w:jc w:val="both"/>
        <w:rPr>
          <w:sz w:val="16"/>
        </w:rPr>
      </w:pPr>
      <w:r>
        <w:rPr>
          <w:sz w:val="16"/>
        </w:rPr>
        <w:t>(2)   If the natural gas has a higher oxygen content, such as when propane-air peakshaving gas is present, the plant must be maintained in standby mode, unless the peak shaving option is installed, in which case the plant performance will be down-rated.</w:t>
      </w:r>
    </w:p>
    <w:p>
      <w:pPr>
        <w:pStyle w:val="Normal"/>
        <w:jc w:val="both"/>
        <w:rPr>
          <w:sz w:val="16"/>
        </w:rPr>
      </w:pPr>
      <w:r>
        <w:rPr>
          <w:sz w:val="16"/>
        </w:rPr>
        <w:t>(3)   Nearly all pipeline natural gases will meet this specification, based on the sulfur impurity levels reported in GRI-92/0123.</w:t>
      </w:r>
    </w:p>
    <w:p>
      <w:pPr>
        <w:pStyle w:val="Normal"/>
        <w:jc w:val="both"/>
        <w:rPr>
          <w:sz w:val="16"/>
        </w:rPr>
      </w:pPr>
      <w:r>
        <w:rPr>
          <w:sz w:val="16"/>
        </w:rPr>
        <w:t xml:space="preserve">(4)   Basis is the average total sulfur content in pipeline natural gas from a survey in GRI-92/0123. </w:t>
      </w:r>
    </w:p>
    <w:p>
      <w:pPr>
        <w:pStyle w:val="Normal"/>
        <w:jc w:val="both"/>
        <w:rPr>
          <w:sz w:val="16"/>
        </w:rPr>
      </w:pPr>
      <w:r>
        <w:rPr>
          <w:sz w:val="16"/>
        </w:rPr>
        <w:t>(5)   Basis for the 2MW Powerplant performance estimate and the sulfur adsorption capacity of the sorbent in the natural gas desulfurization system.</w:t>
      </w:r>
    </w:p>
    <w:p>
      <w:pPr>
        <w:pStyle w:val="Normal"/>
        <w:jc w:val="both"/>
        <w:rPr>
          <w:sz w:val="16"/>
        </w:rPr>
      </w:pPr>
      <w:r>
        <w:rPr>
          <w:sz w:val="16"/>
        </w:rPr>
      </w:r>
    </w:p>
    <w:p>
      <w:pPr>
        <w:pStyle w:val="Normal"/>
        <w:jc w:val="both"/>
        <w:rPr>
          <w:sz w:val="16"/>
        </w:rPr>
      </w:pPr>
      <w:r>
        <w:rPr>
          <w:sz w:val="16"/>
        </w:rPr>
      </w:r>
    </w:p>
    <w:p>
      <w:pPr>
        <w:pStyle w:val="Normal"/>
        <w:jc w:val="both"/>
        <w:rPr/>
      </w:pPr>
      <w:r>
        <w:rPr/>
      </w:r>
    </w:p>
    <w:p>
      <w:pPr>
        <w:pStyle w:val="Normal"/>
        <w:jc w:val="both"/>
        <w:rPr/>
      </w:pPr>
      <w:r>
        <w:rPr/>
      </w:r>
    </w:p>
    <w:p>
      <w:pPr>
        <w:pStyle w:val="Normal"/>
        <w:jc w:val="both"/>
        <w:rPr/>
      </w:pPr>
      <w:r>
        <w:rPr/>
      </w:r>
    </w:p>
    <w:p>
      <w:pPr>
        <w:pStyle w:val="Normal"/>
        <w:jc w:val="center"/>
        <w:rPr>
          <w:b/>
        </w:rPr>
      </w:pPr>
      <w:r>
        <w:rPr>
          <w:b/>
        </w:rPr>
        <w:t>Table 6</w:t>
      </w:r>
    </w:p>
    <w:p>
      <w:pPr>
        <w:pStyle w:val="Normal"/>
        <w:jc w:val="center"/>
        <w:rPr>
          <w:b/>
        </w:rPr>
      </w:pPr>
      <w:r>
        <w:rPr>
          <w:b/>
        </w:rPr>
        <w:t>Peak Shave Gas Compositions (Delivered To Site)</w:t>
      </w:r>
    </w:p>
    <w:p>
      <w:pPr>
        <w:pStyle w:val="Normal"/>
        <w:jc w:val="center"/>
        <w:rPr>
          <w:b/>
        </w:rPr>
      </w:pPr>
      <w:r>
        <w:rPr>
          <w:b/>
        </w:rPr>
      </w:r>
    </w:p>
    <w:tbl>
      <w:tblPr>
        <w:tblW w:w="7438" w:type="dxa"/>
        <w:jc w:val="start"/>
        <w:tblInd w:w="1170" w:type="dxa"/>
        <w:tblLayout w:type="fixed"/>
        <w:tblCellMar>
          <w:top w:w="0" w:type="dxa"/>
          <w:start w:w="0" w:type="dxa"/>
          <w:bottom w:w="0" w:type="dxa"/>
          <w:end w:w="0" w:type="dxa"/>
        </w:tblCellMar>
      </w:tblPr>
      <w:tblGrid>
        <w:gridCol w:w="2893"/>
        <w:gridCol w:w="1517"/>
        <w:gridCol w:w="793"/>
        <w:gridCol w:w="1335"/>
        <w:gridCol w:w="900"/>
      </w:tblGrid>
      <w:tr>
        <w:trPr/>
        <w:tc>
          <w:tcPr>
            <w:tcW w:w="2893"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jc w:val="center"/>
              <w:rPr>
                <w:color w:val="000000"/>
                <w:sz w:val="22"/>
              </w:rPr>
            </w:pPr>
            <w:r>
              <w:rPr>
                <w:color w:val="000000"/>
                <w:sz w:val="22"/>
              </w:rPr>
              <w:t>PROPERTY</w:t>
            </w:r>
          </w:p>
        </w:tc>
        <w:tc>
          <w:tcPr>
            <w:tcW w:w="231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jc w:val="center"/>
              <w:rPr>
                <w:color w:val="000000"/>
                <w:sz w:val="22"/>
              </w:rPr>
            </w:pPr>
            <w:r>
              <w:rPr>
                <w:color w:val="000000"/>
                <w:sz w:val="22"/>
              </w:rPr>
              <w:t>PROPANE/AIR (1)</w:t>
            </w:r>
          </w:p>
        </w:tc>
        <w:tc>
          <w:tcPr>
            <w:tcW w:w="2235" w:type="dxa"/>
            <w:gridSpan w:val="2"/>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jc w:val="center"/>
              <w:rPr>
                <w:color w:val="000000"/>
                <w:sz w:val="22"/>
              </w:rPr>
            </w:pPr>
            <w:r>
              <w:rPr>
                <w:color w:val="000000"/>
                <w:sz w:val="22"/>
              </w:rPr>
              <w:t>BUTANE/AIR (1)</w:t>
            </w:r>
          </w:p>
          <w:p>
            <w:pPr>
              <w:pStyle w:val="Normal"/>
              <w:widowControl w:val="false"/>
              <w:tabs>
                <w:tab w:val="left" w:pos="720" w:leader="none"/>
              </w:tabs>
              <w:jc w:val="center"/>
              <w:rPr>
                <w:color w:val="000000"/>
                <w:sz w:val="22"/>
              </w:rPr>
            </w:pPr>
            <w:r>
              <w:rPr>
                <w:color w:val="000000"/>
                <w:sz w:val="22"/>
              </w:rPr>
            </w:r>
          </w:p>
        </w:tc>
      </w:tr>
      <w:tr>
        <w:trPr/>
        <w:tc>
          <w:tcPr>
            <w:tcW w:w="2893" w:type="dxa"/>
            <w:tcBorders>
              <w:start w:val="single" w:sz="4" w:space="0" w:color="000000"/>
              <w:bottom w:val="single" w:sz="4" w:space="0" w:color="000000"/>
              <w:end w:val="single" w:sz="4" w:space="0" w:color="000000"/>
            </w:tcBorders>
          </w:tcPr>
          <w:p>
            <w:pPr>
              <w:pStyle w:val="Normal"/>
              <w:widowControl w:val="false"/>
              <w:tabs>
                <w:tab w:val="left" w:pos="720" w:leader="none"/>
              </w:tabs>
              <w:rPr>
                <w:color w:val="000000"/>
                <w:sz w:val="22"/>
              </w:rPr>
            </w:pPr>
            <w:r>
              <w:rPr>
                <w:color w:val="000000"/>
                <w:sz w:val="22"/>
                <w:u w:val="single"/>
              </w:rPr>
              <w:t>Composition</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Hydrogen, vol %</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Methane, vol %</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Ethane, vol %</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Propane vol %</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Butanes, vol %</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Pentanes+, vol %</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Oxygen, vol %</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Inert Gases</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 Nitrogen, vol %</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 Carbon Dioxide, vol %</w:t>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Unsaturated Hydrocarbons</w:t>
            </w:r>
          </w:p>
        </w:tc>
        <w:tc>
          <w:tcPr>
            <w:tcW w:w="1517" w:type="dxa"/>
            <w:tcBorders/>
          </w:tcPr>
          <w:p>
            <w:pPr>
              <w:pStyle w:val="Normal"/>
              <w:widowControl w:val="false"/>
              <w:tabs>
                <w:tab w:val="left" w:pos="720" w:leader="none"/>
              </w:tabs>
              <w:snapToGrid w:val="false"/>
              <w:jc w:val="end"/>
              <w:rPr>
                <w:color w:val="000000"/>
                <w:sz w:val="22"/>
              </w:rPr>
            </w:pPr>
            <w:r>
              <w:rPr>
                <w:color w:val="000000"/>
                <w:sz w:val="22"/>
              </w:rPr>
            </w:r>
          </w:p>
          <w:p>
            <w:pPr>
              <w:pStyle w:val="Normal"/>
              <w:widowControl w:val="false"/>
              <w:tabs>
                <w:tab w:val="left" w:pos="720" w:leader="none"/>
              </w:tabs>
              <w:jc w:val="end"/>
              <w:rPr>
                <w:color w:val="000000"/>
                <w:sz w:val="22"/>
              </w:rPr>
            </w:pPr>
            <w:r>
              <w:rPr>
                <w:color w:val="000000"/>
                <w:sz w:val="22"/>
              </w:rPr>
              <w:t>0.5</w:t>
            </w:r>
          </w:p>
          <w:p>
            <w:pPr>
              <w:pStyle w:val="Normal"/>
              <w:widowControl w:val="false"/>
              <w:tabs>
                <w:tab w:val="left" w:pos="720" w:leader="none"/>
              </w:tabs>
              <w:jc w:val="end"/>
              <w:rPr>
                <w:color w:val="000000"/>
                <w:sz w:val="22"/>
              </w:rPr>
            </w:pPr>
            <w:r>
              <w:rPr>
                <w:color w:val="000000"/>
                <w:sz w:val="22"/>
              </w:rPr>
              <w:t>44.0</w:t>
            </w:r>
          </w:p>
          <w:p>
            <w:pPr>
              <w:pStyle w:val="Normal"/>
              <w:widowControl w:val="false"/>
              <w:tabs>
                <w:tab w:val="left" w:pos="720" w:leader="none"/>
              </w:tabs>
              <w:jc w:val="end"/>
              <w:rPr>
                <w:color w:val="000000"/>
                <w:sz w:val="22"/>
              </w:rPr>
            </w:pPr>
            <w:r>
              <w:rPr>
                <w:color w:val="000000"/>
                <w:sz w:val="22"/>
              </w:rPr>
              <w:t>2.0</w:t>
            </w:r>
          </w:p>
          <w:p>
            <w:pPr>
              <w:pStyle w:val="Normal"/>
              <w:widowControl w:val="false"/>
              <w:tabs>
                <w:tab w:val="left" w:pos="720" w:leader="none"/>
              </w:tabs>
              <w:jc w:val="end"/>
              <w:rPr>
                <w:color w:val="000000"/>
                <w:sz w:val="22"/>
              </w:rPr>
            </w:pPr>
            <w:r>
              <w:rPr>
                <w:color w:val="000000"/>
                <w:sz w:val="22"/>
              </w:rPr>
              <w:t>31.0</w:t>
            </w:r>
          </w:p>
          <w:p>
            <w:pPr>
              <w:pStyle w:val="Normal"/>
              <w:widowControl w:val="false"/>
              <w:tabs>
                <w:tab w:val="left" w:pos="720" w:leader="none"/>
              </w:tabs>
              <w:jc w:val="end"/>
              <w:rPr>
                <w:color w:val="000000"/>
                <w:sz w:val="22"/>
              </w:rPr>
            </w:pPr>
            <w:r>
              <w:rPr>
                <w:color w:val="000000"/>
                <w:sz w:val="22"/>
              </w:rPr>
              <w:t>0.5</w:t>
            </w:r>
          </w:p>
          <w:p>
            <w:pPr>
              <w:pStyle w:val="Normal"/>
              <w:widowControl w:val="false"/>
              <w:tabs>
                <w:tab w:val="left" w:pos="720" w:leader="none"/>
              </w:tabs>
              <w:jc w:val="end"/>
              <w:rPr>
                <w:color w:val="000000"/>
                <w:sz w:val="22"/>
              </w:rPr>
            </w:pPr>
            <w:r>
              <w:rPr>
                <w:color w:val="000000"/>
                <w:sz w:val="22"/>
              </w:rPr>
              <w:t>0.0</w:t>
            </w:r>
          </w:p>
          <w:p>
            <w:pPr>
              <w:pStyle w:val="Normal"/>
              <w:widowControl w:val="false"/>
              <w:tabs>
                <w:tab w:val="left" w:pos="720" w:leader="none"/>
              </w:tabs>
              <w:jc w:val="end"/>
              <w:rPr>
                <w:color w:val="000000"/>
                <w:sz w:val="22"/>
              </w:rPr>
            </w:pPr>
            <w:r>
              <w:rPr>
                <w:color w:val="000000"/>
                <w:sz w:val="22"/>
              </w:rPr>
              <w:t>4.0</w:t>
            </w:r>
          </w:p>
          <w:p>
            <w:pPr>
              <w:pStyle w:val="Normal"/>
              <w:widowControl w:val="false"/>
              <w:tabs>
                <w:tab w:val="left" w:pos="720" w:leader="none"/>
              </w:tabs>
              <w:jc w:val="end"/>
              <w:rPr>
                <w:color w:val="000000"/>
                <w:sz w:val="22"/>
              </w:rPr>
            </w:pPr>
            <w:r>
              <w:rPr>
                <w:color w:val="000000"/>
                <w:sz w:val="22"/>
              </w:rPr>
              <w:t>18.0</w:t>
            </w:r>
          </w:p>
          <w:p>
            <w:pPr>
              <w:pStyle w:val="Normal"/>
              <w:widowControl w:val="false"/>
              <w:tabs>
                <w:tab w:val="left" w:pos="720" w:leader="none"/>
              </w:tabs>
              <w:jc w:val="end"/>
              <w:rPr>
                <w:color w:val="000000"/>
                <w:sz w:val="22"/>
              </w:rPr>
            </w:pPr>
            <w:r>
              <w:rPr>
                <w:color w:val="000000"/>
                <w:sz w:val="22"/>
              </w:rPr>
              <w:t>17.0</w:t>
            </w:r>
          </w:p>
          <w:p>
            <w:pPr>
              <w:pStyle w:val="Normal"/>
              <w:widowControl w:val="false"/>
              <w:tabs>
                <w:tab w:val="left" w:pos="720" w:leader="none"/>
              </w:tabs>
              <w:jc w:val="end"/>
              <w:rPr>
                <w:color w:val="000000"/>
                <w:sz w:val="22"/>
              </w:rPr>
            </w:pPr>
            <w:r>
              <w:rPr>
                <w:color w:val="000000"/>
                <w:sz w:val="22"/>
              </w:rPr>
              <w:t>1.0</w:t>
            </w:r>
          </w:p>
          <w:p>
            <w:pPr>
              <w:pStyle w:val="Normal"/>
              <w:widowControl w:val="false"/>
              <w:tabs>
                <w:tab w:val="left" w:pos="720" w:leader="none"/>
              </w:tabs>
              <w:jc w:val="end"/>
              <w:rPr>
                <w:color w:val="000000"/>
                <w:sz w:val="22"/>
              </w:rPr>
            </w:pPr>
            <w:r>
              <w:rPr>
                <w:color w:val="000000"/>
                <w:sz w:val="22"/>
              </w:rPr>
            </w:r>
          </w:p>
          <w:p>
            <w:pPr>
              <w:pStyle w:val="Normal"/>
              <w:widowControl w:val="false"/>
              <w:tabs>
                <w:tab w:val="left" w:pos="720" w:leader="none"/>
              </w:tabs>
              <w:jc w:val="end"/>
              <w:rPr>
                <w:color w:val="000000"/>
                <w:sz w:val="22"/>
              </w:rPr>
            </w:pPr>
            <w:r>
              <w:rPr>
                <w:color w:val="000000"/>
                <w:sz w:val="22"/>
              </w:rPr>
              <w:t>0.0</w:t>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end"/>
              <w:rPr>
                <w:color w:val="000000"/>
                <w:sz w:val="22"/>
              </w:rPr>
            </w:pPr>
            <w:r>
              <w:rPr>
                <w:color w:val="000000"/>
                <w:sz w:val="22"/>
              </w:rPr>
            </w:r>
          </w:p>
          <w:p>
            <w:pPr>
              <w:pStyle w:val="Normal"/>
              <w:widowControl w:val="false"/>
              <w:tabs>
                <w:tab w:val="left" w:pos="720" w:leader="none"/>
              </w:tabs>
              <w:jc w:val="end"/>
              <w:rPr>
                <w:color w:val="000000"/>
                <w:sz w:val="22"/>
              </w:rPr>
            </w:pPr>
            <w:r>
              <w:rPr>
                <w:color w:val="000000"/>
                <w:sz w:val="22"/>
              </w:rPr>
            </w:r>
          </w:p>
        </w:tc>
        <w:tc>
          <w:tcPr>
            <w:tcW w:w="793" w:type="dxa"/>
            <w:tcBorders/>
          </w:tcPr>
          <w:p>
            <w:pPr>
              <w:pStyle w:val="Normal"/>
              <w:widowControl w:val="false"/>
              <w:tabs>
                <w:tab w:val="left" w:pos="720" w:leader="none"/>
              </w:tabs>
              <w:snapToGrid w:val="false"/>
              <w:rPr>
                <w:color w:val="000000"/>
                <w:sz w:val="22"/>
              </w:rPr>
            </w:pPr>
            <w:r>
              <w:rPr>
                <w:color w:val="000000"/>
                <w:sz w:val="22"/>
              </w:rPr>
            </w:r>
          </w:p>
        </w:tc>
        <w:tc>
          <w:tcPr>
            <w:tcW w:w="1335" w:type="dxa"/>
            <w:tcBorders>
              <w:start w:val="single" w:sz="4" w:space="0" w:color="000000"/>
            </w:tcBorders>
          </w:tcPr>
          <w:p>
            <w:pPr>
              <w:pStyle w:val="Normal"/>
              <w:widowControl w:val="false"/>
              <w:tabs>
                <w:tab w:val="left" w:pos="720" w:leader="none"/>
              </w:tabs>
              <w:snapToGrid w:val="false"/>
              <w:jc w:val="end"/>
              <w:rPr>
                <w:color w:val="000000"/>
                <w:sz w:val="22"/>
              </w:rPr>
            </w:pPr>
            <w:r>
              <w:rPr>
                <w:color w:val="000000"/>
                <w:sz w:val="22"/>
              </w:rPr>
            </w:r>
          </w:p>
          <w:p>
            <w:pPr>
              <w:pStyle w:val="Normal"/>
              <w:widowControl w:val="false"/>
              <w:tabs>
                <w:tab w:val="left" w:pos="720" w:leader="none"/>
              </w:tabs>
              <w:jc w:val="end"/>
              <w:rPr>
                <w:color w:val="000000"/>
                <w:sz w:val="22"/>
              </w:rPr>
            </w:pPr>
            <w:r>
              <w:rPr>
                <w:color w:val="000000"/>
                <w:sz w:val="22"/>
              </w:rPr>
              <w:t>0.5</w:t>
            </w:r>
          </w:p>
          <w:p>
            <w:pPr>
              <w:pStyle w:val="Normal"/>
              <w:widowControl w:val="false"/>
              <w:tabs>
                <w:tab w:val="left" w:pos="720" w:leader="none"/>
              </w:tabs>
              <w:jc w:val="end"/>
              <w:rPr>
                <w:color w:val="000000"/>
                <w:sz w:val="22"/>
              </w:rPr>
            </w:pPr>
            <w:r>
              <w:rPr>
                <w:color w:val="000000"/>
                <w:sz w:val="22"/>
              </w:rPr>
              <w:t>53.5</w:t>
            </w:r>
          </w:p>
          <w:p>
            <w:pPr>
              <w:pStyle w:val="Normal"/>
              <w:widowControl w:val="false"/>
              <w:tabs>
                <w:tab w:val="left" w:pos="720" w:leader="none"/>
              </w:tabs>
              <w:jc w:val="end"/>
              <w:rPr>
                <w:color w:val="000000"/>
                <w:sz w:val="22"/>
              </w:rPr>
            </w:pPr>
            <w:r>
              <w:rPr>
                <w:color w:val="000000"/>
                <w:sz w:val="22"/>
              </w:rPr>
              <w:t>2.0</w:t>
            </w:r>
          </w:p>
          <w:p>
            <w:pPr>
              <w:pStyle w:val="Normal"/>
              <w:widowControl w:val="false"/>
              <w:tabs>
                <w:tab w:val="left" w:pos="720" w:leader="none"/>
              </w:tabs>
              <w:jc w:val="end"/>
              <w:rPr>
                <w:color w:val="000000"/>
                <w:sz w:val="22"/>
              </w:rPr>
            </w:pPr>
            <w:r>
              <w:rPr>
                <w:color w:val="000000"/>
                <w:sz w:val="22"/>
              </w:rPr>
              <w:t>1.0</w:t>
            </w:r>
          </w:p>
          <w:p>
            <w:pPr>
              <w:pStyle w:val="Normal"/>
              <w:widowControl w:val="false"/>
              <w:tabs>
                <w:tab w:val="left" w:pos="720" w:leader="none"/>
              </w:tabs>
              <w:jc w:val="end"/>
              <w:rPr>
                <w:color w:val="000000"/>
                <w:sz w:val="22"/>
              </w:rPr>
            </w:pPr>
            <w:r>
              <w:rPr>
                <w:color w:val="000000"/>
                <w:sz w:val="22"/>
              </w:rPr>
              <w:t>21.0</w:t>
            </w:r>
          </w:p>
          <w:p>
            <w:pPr>
              <w:pStyle w:val="Normal"/>
              <w:widowControl w:val="false"/>
              <w:tabs>
                <w:tab w:val="left" w:pos="720" w:leader="none"/>
              </w:tabs>
              <w:jc w:val="end"/>
              <w:rPr>
                <w:color w:val="000000"/>
                <w:sz w:val="22"/>
              </w:rPr>
            </w:pPr>
            <w:r>
              <w:rPr>
                <w:color w:val="000000"/>
                <w:sz w:val="22"/>
              </w:rPr>
              <w:t>0.0</w:t>
            </w:r>
          </w:p>
          <w:p>
            <w:pPr>
              <w:pStyle w:val="Normal"/>
              <w:widowControl w:val="false"/>
              <w:tabs>
                <w:tab w:val="left" w:pos="720" w:leader="none"/>
              </w:tabs>
              <w:jc w:val="end"/>
              <w:rPr>
                <w:color w:val="000000"/>
                <w:sz w:val="22"/>
              </w:rPr>
            </w:pPr>
            <w:r>
              <w:rPr>
                <w:color w:val="000000"/>
                <w:sz w:val="22"/>
              </w:rPr>
              <w:t>4.0</w:t>
            </w:r>
          </w:p>
          <w:p>
            <w:pPr>
              <w:pStyle w:val="Normal"/>
              <w:widowControl w:val="false"/>
              <w:tabs>
                <w:tab w:val="left" w:pos="720" w:leader="none"/>
              </w:tabs>
              <w:jc w:val="end"/>
              <w:rPr>
                <w:color w:val="000000"/>
                <w:sz w:val="22"/>
              </w:rPr>
            </w:pPr>
            <w:r>
              <w:rPr>
                <w:color w:val="000000"/>
                <w:sz w:val="22"/>
              </w:rPr>
              <w:t>18.0</w:t>
            </w:r>
          </w:p>
          <w:p>
            <w:pPr>
              <w:pStyle w:val="Normal"/>
              <w:widowControl w:val="false"/>
              <w:tabs>
                <w:tab w:val="left" w:pos="720" w:leader="none"/>
              </w:tabs>
              <w:jc w:val="end"/>
              <w:rPr>
                <w:color w:val="000000"/>
                <w:sz w:val="22"/>
              </w:rPr>
            </w:pPr>
            <w:r>
              <w:rPr>
                <w:color w:val="000000"/>
                <w:sz w:val="22"/>
              </w:rPr>
              <w:t>17.0</w:t>
            </w:r>
          </w:p>
          <w:p>
            <w:pPr>
              <w:pStyle w:val="Normal"/>
              <w:widowControl w:val="false"/>
              <w:tabs>
                <w:tab w:val="left" w:pos="720" w:leader="none"/>
              </w:tabs>
              <w:jc w:val="end"/>
              <w:rPr>
                <w:color w:val="000000"/>
                <w:sz w:val="22"/>
              </w:rPr>
            </w:pPr>
            <w:r>
              <w:rPr>
                <w:color w:val="000000"/>
                <w:sz w:val="22"/>
              </w:rPr>
              <w:t>1.0</w:t>
            </w:r>
          </w:p>
          <w:p>
            <w:pPr>
              <w:pStyle w:val="Normal"/>
              <w:widowControl w:val="false"/>
              <w:tabs>
                <w:tab w:val="left" w:pos="720" w:leader="none"/>
              </w:tabs>
              <w:jc w:val="end"/>
              <w:rPr>
                <w:color w:val="000000"/>
                <w:sz w:val="22"/>
              </w:rPr>
            </w:pPr>
            <w:r>
              <w:rPr>
                <w:color w:val="000000"/>
                <w:sz w:val="22"/>
              </w:rPr>
            </w:r>
          </w:p>
          <w:p>
            <w:pPr>
              <w:pStyle w:val="Normal"/>
              <w:widowControl w:val="false"/>
              <w:tabs>
                <w:tab w:val="left" w:pos="720" w:leader="none"/>
              </w:tabs>
              <w:jc w:val="end"/>
              <w:rPr>
                <w:color w:val="000000"/>
                <w:sz w:val="22"/>
              </w:rPr>
            </w:pPr>
            <w:r>
              <w:rPr>
                <w:color w:val="000000"/>
                <w:sz w:val="22"/>
              </w:rPr>
              <w:t>0.0</w:t>
            </w:r>
          </w:p>
        </w:tc>
        <w:tc>
          <w:tcPr>
            <w:tcW w:w="900" w:type="dxa"/>
            <w:tcBorders>
              <w:end w:val="single" w:sz="4" w:space="0" w:color="000000"/>
            </w:tcBorders>
          </w:tcPr>
          <w:p>
            <w:pPr>
              <w:pStyle w:val="Normal"/>
              <w:widowControl w:val="false"/>
              <w:tabs>
                <w:tab w:val="left" w:pos="720" w:leader="none"/>
              </w:tabs>
              <w:snapToGrid w:val="false"/>
              <w:rPr>
                <w:color w:val="000000"/>
                <w:sz w:val="22"/>
              </w:rPr>
            </w:pPr>
            <w:r>
              <w:rPr>
                <w:color w:val="000000"/>
                <w:sz w:val="22"/>
              </w:rPr>
            </w:r>
          </w:p>
        </w:tc>
      </w:tr>
      <w:tr>
        <w:trPr/>
        <w:tc>
          <w:tcPr>
            <w:tcW w:w="2893" w:type="dxa"/>
            <w:tcBorders>
              <w:top w:val="single" w:sz="4" w:space="0" w:color="000000"/>
              <w:start w:val="single" w:sz="4" w:space="0" w:color="000000"/>
              <w:bottom w:val="single" w:sz="4" w:space="0" w:color="000000"/>
              <w:end w:val="single" w:sz="4" w:space="0" w:color="000000"/>
            </w:tcBorders>
          </w:tcPr>
          <w:p>
            <w:pPr>
              <w:pStyle w:val="Heading3"/>
              <w:snapToGrid w:val="false"/>
              <w:ind w:hanging="0" w:start="0"/>
              <w:rPr>
                <w:color w:val="000000"/>
                <w:sz w:val="22"/>
              </w:rPr>
            </w:pPr>
            <w:r>
              <w:rPr>
                <w:color w:val="000000"/>
                <w:sz w:val="22"/>
              </w:rPr>
            </w:r>
          </w:p>
          <w:p>
            <w:pPr>
              <w:pStyle w:val="Heading6"/>
              <w:ind w:hanging="0" w:start="0"/>
              <w:rPr/>
            </w:pPr>
            <w:r>
              <w:rPr/>
              <w:t>Impurities</w:t>
            </w:r>
          </w:p>
          <w:p>
            <w:pPr>
              <w:pStyle w:val="Normal"/>
              <w:widowControl w:val="false"/>
              <w:tabs>
                <w:tab w:val="left" w:pos="720" w:leader="none"/>
              </w:tabs>
              <w:rPr>
                <w:rFonts w:eastAsia="Arial"/>
                <w:color w:val="000000"/>
                <w:sz w:val="22"/>
              </w:rPr>
            </w:pPr>
            <w:r>
              <w:rPr>
                <w:rFonts w:eastAsia="Arial"/>
                <w:color w:val="000000"/>
                <w:sz w:val="22"/>
              </w:rPr>
              <w:t xml:space="preserve">  </w:t>
            </w:r>
          </w:p>
        </w:tc>
        <w:tc>
          <w:tcPr>
            <w:tcW w:w="1517" w:type="dxa"/>
            <w:tcBorders/>
          </w:tcPr>
          <w:p>
            <w:pPr>
              <w:pStyle w:val="Normal"/>
              <w:widowControl w:val="false"/>
              <w:tabs>
                <w:tab w:val="left" w:pos="720" w:leader="none"/>
              </w:tabs>
              <w:snapToGrid w:val="false"/>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t>Similar to Natural Gas Data</w:t>
            </w:r>
          </w:p>
          <w:p>
            <w:pPr>
              <w:pStyle w:val="Normal"/>
              <w:widowControl w:val="false"/>
              <w:tabs>
                <w:tab w:val="left" w:pos="720" w:leader="none"/>
              </w:tabs>
              <w:jc w:val="center"/>
              <w:rPr>
                <w:color w:val="000000"/>
                <w:sz w:val="22"/>
              </w:rPr>
            </w:pPr>
            <w:r>
              <w:rPr>
                <w:color w:val="000000"/>
                <w:sz w:val="22"/>
              </w:rPr>
            </w:r>
          </w:p>
        </w:tc>
        <w:tc>
          <w:tcPr>
            <w:tcW w:w="793" w:type="dxa"/>
            <w:tcBorders/>
          </w:tcPr>
          <w:p>
            <w:pPr>
              <w:pStyle w:val="Normal"/>
              <w:widowControl w:val="false"/>
              <w:tabs>
                <w:tab w:val="left" w:pos="720" w:leader="none"/>
              </w:tabs>
              <w:snapToGrid w:val="false"/>
              <w:rPr>
                <w:color w:val="000000"/>
                <w:sz w:val="22"/>
              </w:rPr>
            </w:pPr>
            <w:r>
              <w:rPr>
                <w:color w:val="000000"/>
                <w:sz w:val="22"/>
              </w:rPr>
            </w:r>
          </w:p>
        </w:tc>
        <w:tc>
          <w:tcPr>
            <w:tcW w:w="1335" w:type="dxa"/>
            <w:tcBorders>
              <w:start w:val="single" w:sz="4" w:space="0" w:color="000000"/>
            </w:tcBorders>
          </w:tcPr>
          <w:p>
            <w:pPr>
              <w:pStyle w:val="Normal"/>
              <w:widowControl w:val="false"/>
              <w:tabs>
                <w:tab w:val="left" w:pos="720" w:leader="none"/>
              </w:tabs>
              <w:snapToGrid w:val="false"/>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t>Similar to Natural Gas Data</w:t>
            </w:r>
          </w:p>
          <w:p>
            <w:pPr>
              <w:pStyle w:val="Normal"/>
              <w:widowControl w:val="false"/>
              <w:tabs>
                <w:tab w:val="left" w:pos="720" w:leader="none"/>
              </w:tabs>
              <w:jc w:val="center"/>
              <w:rPr>
                <w:color w:val="000000"/>
                <w:sz w:val="22"/>
              </w:rPr>
            </w:pPr>
            <w:r>
              <w:rPr>
                <w:color w:val="000000"/>
                <w:sz w:val="22"/>
              </w:rPr>
            </w:r>
          </w:p>
        </w:tc>
        <w:tc>
          <w:tcPr>
            <w:tcW w:w="900" w:type="dxa"/>
            <w:tcBorders>
              <w:end w:val="single" w:sz="4" w:space="0" w:color="000000"/>
            </w:tcBorders>
          </w:tcPr>
          <w:p>
            <w:pPr>
              <w:pStyle w:val="Normal"/>
              <w:widowControl w:val="false"/>
              <w:tabs>
                <w:tab w:val="left" w:pos="720" w:leader="none"/>
              </w:tabs>
              <w:snapToGrid w:val="false"/>
              <w:rPr>
                <w:color w:val="000000"/>
                <w:sz w:val="22"/>
              </w:rPr>
            </w:pPr>
            <w:r>
              <w:rPr>
                <w:color w:val="000000"/>
                <w:sz w:val="22"/>
              </w:rPr>
            </w:r>
          </w:p>
        </w:tc>
      </w:tr>
      <w:tr>
        <w:trPr/>
        <w:tc>
          <w:tcPr>
            <w:tcW w:w="2893"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rPr>
                <w:color w:val="000000"/>
                <w:sz w:val="22"/>
              </w:rPr>
            </w:pPr>
            <w:r>
              <w:rPr>
                <w:color w:val="000000"/>
                <w:sz w:val="22"/>
                <w:u w:val="single"/>
              </w:rPr>
              <w:t>Physical Properties</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Heating Value, Range</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 LHV, Btu/scf</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 Wobbe No.</w:t>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Pressure, psig</w:t>
            </w:r>
          </w:p>
        </w:tc>
        <w:tc>
          <w:tcPr>
            <w:tcW w:w="1517" w:type="dxa"/>
            <w:tcBorders>
              <w:bottom w:val="single" w:sz="4" w:space="0" w:color="000000"/>
            </w:tcBorders>
          </w:tcPr>
          <w:p>
            <w:pPr>
              <w:pStyle w:val="Normal"/>
              <w:widowControl w:val="false"/>
              <w:tabs>
                <w:tab w:val="left" w:pos="720" w:leader="none"/>
              </w:tabs>
              <w:snapToGrid w:val="false"/>
              <w:jc w:val="end"/>
              <w:rPr>
                <w:color w:val="000000"/>
                <w:sz w:val="22"/>
              </w:rPr>
            </w:pPr>
            <w:r>
              <w:rPr>
                <w:color w:val="000000"/>
                <w:sz w:val="22"/>
              </w:rPr>
            </w:r>
          </w:p>
          <w:p>
            <w:pPr>
              <w:pStyle w:val="Normal"/>
              <w:widowControl w:val="false"/>
              <w:tabs>
                <w:tab w:val="left" w:pos="720" w:leader="none"/>
              </w:tabs>
              <w:jc w:val="end"/>
              <w:rPr>
                <w:color w:val="000000"/>
                <w:sz w:val="22"/>
              </w:rPr>
            </w:pPr>
            <w:r>
              <w:rPr>
                <w:color w:val="000000"/>
                <w:sz w:val="22"/>
              </w:rPr>
            </w:r>
          </w:p>
          <w:p>
            <w:pPr>
              <w:pStyle w:val="Normal"/>
              <w:widowControl w:val="false"/>
              <w:tabs>
                <w:tab w:val="left" w:pos="720" w:leader="none"/>
              </w:tabs>
              <w:jc w:val="end"/>
              <w:rPr>
                <w:color w:val="000000"/>
                <w:sz w:val="22"/>
              </w:rPr>
            </w:pPr>
            <w:r>
              <w:rPr>
                <w:color w:val="000000"/>
                <w:sz w:val="22"/>
              </w:rPr>
              <w:t>1163.8</w:t>
            </w:r>
          </w:p>
          <w:p>
            <w:pPr>
              <w:pStyle w:val="Normal"/>
              <w:widowControl w:val="false"/>
              <w:tabs>
                <w:tab w:val="left" w:pos="720" w:leader="none"/>
              </w:tabs>
              <w:jc w:val="end"/>
              <w:rPr>
                <w:color w:val="000000"/>
                <w:sz w:val="22"/>
              </w:rPr>
            </w:pPr>
            <w:r>
              <w:rPr>
                <w:color w:val="000000"/>
                <w:sz w:val="22"/>
              </w:rPr>
              <w:t>1183.2</w:t>
            </w:r>
          </w:p>
          <w:p>
            <w:pPr>
              <w:pStyle w:val="Normal"/>
              <w:widowControl w:val="false"/>
              <w:tabs>
                <w:tab w:val="left" w:pos="720" w:leader="none"/>
              </w:tabs>
              <w:jc w:val="end"/>
              <w:rPr>
                <w:color w:val="000000"/>
                <w:sz w:val="22"/>
              </w:rPr>
            </w:pPr>
            <w:r>
              <w:rPr>
                <w:color w:val="000000"/>
                <w:sz w:val="22"/>
              </w:rPr>
            </w:r>
          </w:p>
          <w:p>
            <w:pPr>
              <w:pStyle w:val="Normal"/>
              <w:widowControl w:val="false"/>
              <w:tabs>
                <w:tab w:val="left" w:pos="720" w:leader="none"/>
              </w:tabs>
              <w:jc w:val="end"/>
              <w:rPr>
                <w:color w:val="000000"/>
                <w:sz w:val="22"/>
              </w:rPr>
            </w:pPr>
            <w:r>
              <w:rPr>
                <w:color w:val="000000"/>
                <w:sz w:val="22"/>
              </w:rPr>
              <w:t>15</w:t>
            </w:r>
          </w:p>
        </w:tc>
        <w:tc>
          <w:tcPr>
            <w:tcW w:w="793" w:type="dxa"/>
            <w:tcBorders>
              <w:bottom w:val="single" w:sz="4" w:space="0" w:color="000000"/>
            </w:tcBorders>
          </w:tcPr>
          <w:p>
            <w:pPr>
              <w:pStyle w:val="Normal"/>
              <w:widowControl w:val="false"/>
              <w:tabs>
                <w:tab w:val="left" w:pos="720" w:leader="none"/>
              </w:tabs>
              <w:snapToGrid w:val="false"/>
              <w:rPr>
                <w:color w:val="000000"/>
                <w:sz w:val="22"/>
              </w:rPr>
            </w:pPr>
            <w:r>
              <w:rPr>
                <w:color w:val="000000"/>
                <w:sz w:val="22"/>
              </w:rPr>
            </w:r>
          </w:p>
        </w:tc>
        <w:tc>
          <w:tcPr>
            <w:tcW w:w="1335" w:type="dxa"/>
            <w:tcBorders>
              <w:start w:val="single" w:sz="4" w:space="0" w:color="000000"/>
              <w:bottom w:val="single" w:sz="4" w:space="0" w:color="000000"/>
            </w:tcBorders>
          </w:tcPr>
          <w:p>
            <w:pPr>
              <w:pStyle w:val="Normal"/>
              <w:widowControl w:val="false"/>
              <w:tabs>
                <w:tab w:val="left" w:pos="720" w:leader="none"/>
              </w:tabs>
              <w:snapToGrid w:val="false"/>
              <w:jc w:val="end"/>
              <w:rPr>
                <w:color w:val="000000"/>
                <w:sz w:val="22"/>
              </w:rPr>
            </w:pPr>
            <w:r>
              <w:rPr>
                <w:color w:val="000000"/>
                <w:sz w:val="22"/>
              </w:rPr>
            </w:r>
          </w:p>
          <w:p>
            <w:pPr>
              <w:pStyle w:val="Normal"/>
              <w:widowControl w:val="false"/>
              <w:tabs>
                <w:tab w:val="left" w:pos="720" w:leader="none"/>
              </w:tabs>
              <w:jc w:val="end"/>
              <w:rPr>
                <w:color w:val="000000"/>
                <w:sz w:val="22"/>
              </w:rPr>
            </w:pPr>
            <w:r>
              <w:rPr>
                <w:color w:val="000000"/>
                <w:sz w:val="22"/>
              </w:rPr>
            </w:r>
          </w:p>
          <w:p>
            <w:pPr>
              <w:pStyle w:val="Normal"/>
              <w:widowControl w:val="false"/>
              <w:tabs>
                <w:tab w:val="left" w:pos="720" w:leader="none"/>
              </w:tabs>
              <w:jc w:val="end"/>
              <w:rPr>
                <w:color w:val="000000"/>
                <w:sz w:val="22"/>
              </w:rPr>
            </w:pPr>
            <w:r>
              <w:rPr>
                <w:color w:val="000000"/>
                <w:sz w:val="22"/>
              </w:rPr>
              <w:t>1172.9</w:t>
            </w:r>
          </w:p>
          <w:p>
            <w:pPr>
              <w:pStyle w:val="Normal"/>
              <w:widowControl w:val="false"/>
              <w:tabs>
                <w:tab w:val="left" w:pos="720" w:leader="none"/>
              </w:tabs>
              <w:jc w:val="end"/>
              <w:rPr>
                <w:color w:val="000000"/>
                <w:sz w:val="22"/>
              </w:rPr>
            </w:pPr>
            <w:r>
              <w:rPr>
                <w:color w:val="000000"/>
                <w:sz w:val="22"/>
              </w:rPr>
              <w:t>1187.9</w:t>
            </w:r>
          </w:p>
          <w:p>
            <w:pPr>
              <w:pStyle w:val="Normal"/>
              <w:widowControl w:val="false"/>
              <w:tabs>
                <w:tab w:val="left" w:pos="720" w:leader="none"/>
              </w:tabs>
              <w:jc w:val="end"/>
              <w:rPr>
                <w:color w:val="000000"/>
                <w:sz w:val="22"/>
              </w:rPr>
            </w:pPr>
            <w:r>
              <w:rPr>
                <w:color w:val="000000"/>
                <w:sz w:val="22"/>
              </w:rPr>
            </w:r>
          </w:p>
          <w:p>
            <w:pPr>
              <w:pStyle w:val="Normal"/>
              <w:widowControl w:val="false"/>
              <w:tabs>
                <w:tab w:val="left" w:pos="720" w:leader="none"/>
              </w:tabs>
              <w:jc w:val="end"/>
              <w:rPr>
                <w:color w:val="000000"/>
                <w:sz w:val="22"/>
              </w:rPr>
            </w:pPr>
            <w:r>
              <w:rPr>
                <w:color w:val="000000"/>
                <w:sz w:val="22"/>
              </w:rPr>
              <w:t>15</w:t>
            </w:r>
          </w:p>
        </w:tc>
        <w:tc>
          <w:tcPr>
            <w:tcW w:w="900" w:type="dxa"/>
            <w:tcBorders>
              <w:bottom w:val="single" w:sz="4" w:space="0" w:color="000000"/>
              <w:end w:val="single" w:sz="4" w:space="0" w:color="000000"/>
            </w:tcBorders>
          </w:tcPr>
          <w:p>
            <w:pPr>
              <w:pStyle w:val="Normal"/>
              <w:widowControl w:val="false"/>
              <w:tabs>
                <w:tab w:val="left" w:pos="720" w:leader="none"/>
              </w:tabs>
              <w:snapToGrid w:val="false"/>
              <w:rPr>
                <w:color w:val="000000"/>
                <w:sz w:val="22"/>
              </w:rPr>
            </w:pPr>
            <w:r>
              <w:rPr>
                <w:color w:val="000000"/>
                <w:sz w:val="22"/>
              </w:rPr>
            </w:r>
          </w:p>
        </w:tc>
      </w:tr>
    </w:tbl>
    <w:p>
      <w:pPr>
        <w:pStyle w:val="Normal"/>
        <w:jc w:val="both"/>
        <w:rPr/>
      </w:pPr>
      <w:r>
        <w:rPr/>
      </w:r>
    </w:p>
    <w:p>
      <w:pPr>
        <w:pStyle w:val="Normal"/>
        <w:jc w:val="both"/>
        <w:rPr>
          <w:sz w:val="16"/>
        </w:rPr>
      </w:pPr>
      <w:r>
        <w:rPr>
          <w:sz w:val="16"/>
        </w:rPr>
        <w:t>Notes for Table 6</w:t>
      </w:r>
    </w:p>
    <w:p>
      <w:pPr>
        <w:pStyle w:val="Normal"/>
        <w:jc w:val="both"/>
        <w:rPr>
          <w:sz w:val="16"/>
        </w:rPr>
      </w:pPr>
      <w:r>
        <w:rPr>
          <w:sz w:val="16"/>
        </w:rPr>
        <w:t>(1)   Gas compositions estimated from values provided for European peak shave gas compositions.  Compositions based on maximum oxygen and propane/butane concentrations, assumed to be worst case scenario for process design; other values fall within ranges for peak shave gas compositions, and chosen to provide comparable Wobbe Nos.</w:t>
      </w:r>
    </w:p>
    <w:p>
      <w:pPr>
        <w:pStyle w:val="Normal"/>
        <w:jc w:val="both"/>
        <w:rPr>
          <w:sz w:val="16"/>
        </w:rPr>
      </w:pPr>
      <w:r>
        <w:rPr>
          <w:sz w:val="16"/>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b/>
        </w:rPr>
      </w:pPr>
      <w:r>
        <w:rPr>
          <w:b/>
        </w:rPr>
        <w:t>Table 7</w:t>
      </w:r>
    </w:p>
    <w:p>
      <w:pPr>
        <w:pStyle w:val="Normal"/>
        <w:jc w:val="center"/>
        <w:rPr>
          <w:b/>
        </w:rPr>
      </w:pPr>
      <w:r>
        <w:rPr>
          <w:b/>
        </w:rPr>
        <w:t>Odorant Composition in Pipeline Natural Gas</w:t>
      </w:r>
    </w:p>
    <w:p>
      <w:pPr>
        <w:pStyle w:val="Normal"/>
        <w:jc w:val="both"/>
        <w:rPr/>
      </w:pPr>
      <w:r>
        <w:rPr/>
      </w:r>
    </w:p>
    <w:tbl>
      <w:tblPr>
        <w:tblW w:w="8539" w:type="dxa"/>
        <w:jc w:val="start"/>
        <w:tblInd w:w="180" w:type="dxa"/>
        <w:tblLayout w:type="fixed"/>
        <w:tblCellMar>
          <w:top w:w="0" w:type="dxa"/>
          <w:start w:w="0" w:type="dxa"/>
          <w:bottom w:w="0" w:type="dxa"/>
          <w:end w:w="0" w:type="dxa"/>
        </w:tblCellMar>
      </w:tblPr>
      <w:tblGrid>
        <w:gridCol w:w="3067"/>
        <w:gridCol w:w="1368"/>
        <w:gridCol w:w="1368"/>
        <w:gridCol w:w="1368"/>
        <w:gridCol w:w="1368"/>
      </w:tblGrid>
      <w:tr>
        <w:trPr/>
        <w:tc>
          <w:tcPr>
            <w:tcW w:w="3067"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rPr>
                <w:color w:val="000000"/>
                <w:sz w:val="22"/>
              </w:rPr>
            </w:pPr>
            <w:r>
              <w:rPr>
                <w:color w:val="000000"/>
                <w:sz w:val="22"/>
              </w:rPr>
              <w:t>Fuel Treatment System</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Design Basis</w:t>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color w:val="000000"/>
                <w:sz w:val="22"/>
              </w:rPr>
            </w:r>
          </w:p>
        </w:tc>
        <w:tc>
          <w:tcPr>
            <w:tcW w:w="1368"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jc w:val="center"/>
              <w:rPr>
                <w:color w:val="000000"/>
                <w:sz w:val="22"/>
              </w:rPr>
            </w:pPr>
            <w:r>
              <w:rPr>
                <w:color w:val="000000"/>
                <w:sz w:val="22"/>
              </w:rPr>
              <w:t>Base Plant Design</w:t>
            </w:r>
          </w:p>
          <w:p>
            <w:pPr>
              <w:pStyle w:val="Normal"/>
              <w:widowControl w:val="false"/>
              <w:tabs>
                <w:tab w:val="left" w:pos="720" w:leader="none"/>
              </w:tabs>
              <w:jc w:val="center"/>
              <w:rPr>
                <w:color w:val="000000"/>
                <w:sz w:val="22"/>
              </w:rPr>
            </w:pPr>
            <w:r>
              <w:rPr>
                <w:color w:val="000000"/>
                <w:sz w:val="22"/>
              </w:rPr>
              <w:t>(1)</w:t>
            </w:r>
          </w:p>
        </w:tc>
        <w:tc>
          <w:tcPr>
            <w:tcW w:w="1368"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jc w:val="center"/>
              <w:rPr>
                <w:color w:val="000000"/>
                <w:sz w:val="22"/>
              </w:rPr>
            </w:pPr>
            <w:r>
              <w:rPr>
                <w:color w:val="000000"/>
                <w:sz w:val="22"/>
              </w:rPr>
              <w:t>Option 1</w:t>
            </w:r>
          </w:p>
          <w:p>
            <w:pPr>
              <w:pStyle w:val="Normal"/>
              <w:widowControl w:val="false"/>
              <w:tabs>
                <w:tab w:val="left" w:pos="720" w:leader="none"/>
              </w:tabs>
              <w:jc w:val="center"/>
              <w:rPr>
                <w:color w:val="000000"/>
                <w:sz w:val="22"/>
              </w:rPr>
            </w:pPr>
            <w:r>
              <w:rPr>
                <w:color w:val="000000"/>
                <w:sz w:val="22"/>
              </w:rPr>
              <w:t>(2)</w:t>
            </w:r>
          </w:p>
        </w:tc>
        <w:tc>
          <w:tcPr>
            <w:tcW w:w="2736" w:type="dxa"/>
            <w:gridSpan w:val="2"/>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jc w:val="center"/>
              <w:rPr>
                <w:color w:val="000000"/>
                <w:sz w:val="22"/>
              </w:rPr>
            </w:pPr>
            <w:r>
              <w:rPr>
                <w:color w:val="000000"/>
                <w:sz w:val="22"/>
              </w:rPr>
              <w:t>Option 2</w:t>
            </w:r>
          </w:p>
          <w:p>
            <w:pPr>
              <w:pStyle w:val="Normal"/>
              <w:widowControl w:val="false"/>
              <w:tabs>
                <w:tab w:val="left" w:pos="720" w:leader="none"/>
              </w:tabs>
              <w:jc w:val="center"/>
              <w:rPr>
                <w:color w:val="000000"/>
                <w:sz w:val="22"/>
              </w:rPr>
            </w:pPr>
            <w:r>
              <w:rPr>
                <w:color w:val="000000"/>
                <w:sz w:val="22"/>
              </w:rPr>
              <w:t>(2)</w:t>
            </w:r>
          </w:p>
        </w:tc>
      </w:tr>
      <w:tr>
        <w:trPr/>
        <w:tc>
          <w:tcPr>
            <w:tcW w:w="3067"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rPr>
                <w:color w:val="000000"/>
                <w:sz w:val="22"/>
              </w:rPr>
            </w:pPr>
            <w:r>
              <w:rPr>
                <w:rFonts w:eastAsia="Arial"/>
                <w:color w:val="000000"/>
                <w:sz w:val="22"/>
              </w:rPr>
              <w:t xml:space="preserve"> </w:t>
            </w:r>
            <w:r>
              <w:rPr>
                <w:color w:val="000000"/>
                <w:sz w:val="22"/>
              </w:rPr>
              <w:t xml:space="preserve">Natural Gas Odorant Blend  </w:t>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color w:val="000000"/>
                <w:sz w:val="22"/>
              </w:rPr>
            </w:r>
          </w:p>
        </w:tc>
        <w:tc>
          <w:tcPr>
            <w:tcW w:w="1368"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jc w:val="center"/>
              <w:rPr>
                <w:color w:val="000000"/>
                <w:sz w:val="22"/>
              </w:rPr>
            </w:pPr>
            <w:r>
              <w:rPr>
                <w:color w:val="000000"/>
                <w:sz w:val="22"/>
              </w:rPr>
              <w:t>All Mercaptan Blend</w:t>
            </w:r>
          </w:p>
        </w:tc>
        <w:tc>
          <w:tcPr>
            <w:tcW w:w="1368"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jc w:val="center"/>
              <w:rPr>
                <w:color w:val="000000"/>
                <w:sz w:val="22"/>
              </w:rPr>
            </w:pPr>
            <w:r>
              <w:rPr>
                <w:color w:val="000000"/>
                <w:sz w:val="22"/>
              </w:rPr>
              <w:t>Mercaptan/</w:t>
            </w:r>
          </w:p>
          <w:p>
            <w:pPr>
              <w:pStyle w:val="Normal"/>
              <w:widowControl w:val="false"/>
              <w:tabs>
                <w:tab w:val="left" w:pos="720" w:leader="none"/>
              </w:tabs>
              <w:jc w:val="center"/>
              <w:rPr>
                <w:color w:val="000000"/>
                <w:sz w:val="22"/>
              </w:rPr>
            </w:pPr>
            <w:r>
              <w:rPr>
                <w:color w:val="000000"/>
                <w:sz w:val="22"/>
              </w:rPr>
              <w:t>Alkyl Sulfide Blend</w:t>
            </w:r>
          </w:p>
        </w:tc>
        <w:tc>
          <w:tcPr>
            <w:tcW w:w="1368"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jc w:val="center"/>
              <w:rPr>
                <w:color w:val="000000"/>
                <w:sz w:val="22"/>
              </w:rPr>
            </w:pPr>
            <w:r>
              <w:rPr>
                <w:color w:val="000000"/>
                <w:sz w:val="22"/>
              </w:rPr>
              <w:t>Thiophane/</w:t>
            </w:r>
          </w:p>
          <w:p>
            <w:pPr>
              <w:pStyle w:val="Normal"/>
              <w:widowControl w:val="false"/>
              <w:tabs>
                <w:tab w:val="left" w:pos="720" w:leader="none"/>
              </w:tabs>
              <w:jc w:val="center"/>
              <w:rPr>
                <w:color w:val="000000"/>
                <w:sz w:val="22"/>
              </w:rPr>
            </w:pPr>
            <w:r>
              <w:rPr>
                <w:color w:val="000000"/>
                <w:sz w:val="22"/>
              </w:rPr>
              <w:t>Mercaptan Blend</w:t>
            </w:r>
          </w:p>
        </w:tc>
        <w:tc>
          <w:tcPr>
            <w:tcW w:w="1368"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jc w:val="center"/>
              <w:rPr>
                <w:color w:val="000000"/>
                <w:sz w:val="22"/>
              </w:rPr>
            </w:pPr>
            <w:r>
              <w:rPr>
                <w:color w:val="000000"/>
                <w:sz w:val="22"/>
              </w:rPr>
              <w:t>Thiophane</w:t>
            </w:r>
          </w:p>
          <w:p>
            <w:pPr>
              <w:pStyle w:val="Normal"/>
              <w:widowControl w:val="false"/>
              <w:tabs>
                <w:tab w:val="left" w:pos="720" w:leader="none"/>
              </w:tabs>
              <w:jc w:val="center"/>
              <w:rPr>
                <w:color w:val="000000"/>
                <w:sz w:val="22"/>
              </w:rPr>
            </w:pPr>
            <w:r>
              <w:rPr>
                <w:color w:val="000000"/>
                <w:sz w:val="22"/>
              </w:rPr>
              <w:t>(99.9%)</w:t>
            </w:r>
          </w:p>
        </w:tc>
      </w:tr>
      <w:tr>
        <w:trPr/>
        <w:tc>
          <w:tcPr>
            <w:tcW w:w="3067"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snapToGrid w:val="false"/>
              <w:rPr>
                <w:color w:val="000000"/>
                <w:sz w:val="22"/>
              </w:rPr>
            </w:pPr>
            <w:r>
              <w:rPr>
                <w:color w:val="000000"/>
                <w:sz w:val="22"/>
              </w:rPr>
            </w:r>
          </w:p>
          <w:p>
            <w:pPr>
              <w:pStyle w:val="Normal"/>
              <w:widowControl w:val="false"/>
              <w:tabs>
                <w:tab w:val="left" w:pos="720" w:leader="none"/>
              </w:tabs>
              <w:rPr>
                <w:color w:val="000000"/>
                <w:sz w:val="22"/>
              </w:rPr>
            </w:pPr>
            <w:r>
              <w:rPr>
                <w:rFonts w:eastAsia="Arial"/>
                <w:color w:val="000000"/>
                <w:sz w:val="22"/>
              </w:rPr>
              <w:t xml:space="preserve"> </w:t>
            </w:r>
            <w:r>
              <w:rPr>
                <w:color w:val="000000"/>
                <w:sz w:val="22"/>
                <w:u w:val="single"/>
              </w:rPr>
              <w:t>Organic Sulfur Components,</w:t>
            </w:r>
          </w:p>
          <w:p>
            <w:pPr>
              <w:pStyle w:val="Normal"/>
              <w:widowControl w:val="false"/>
              <w:tabs>
                <w:tab w:val="left" w:pos="720" w:leader="none"/>
              </w:tabs>
              <w:rPr>
                <w:color w:val="000000"/>
                <w:sz w:val="22"/>
              </w:rPr>
            </w:pPr>
            <w:r>
              <w:rPr>
                <w:rFonts w:eastAsia="Arial"/>
                <w:color w:val="000000"/>
                <w:sz w:val="22"/>
              </w:rPr>
              <w:t xml:space="preserve"> </w:t>
            </w:r>
            <w:r>
              <w:rPr>
                <w:color w:val="000000"/>
                <w:sz w:val="22"/>
                <w:u w:val="single"/>
              </w:rPr>
              <w:t>mol %</w:t>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Mercaptans</w:t>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Alkyl Sulfides</w:t>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Thiophane</w:t>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Total</w:t>
            </w:r>
          </w:p>
          <w:p>
            <w:pPr>
              <w:pStyle w:val="Normal"/>
              <w:widowControl w:val="false"/>
              <w:tabs>
                <w:tab w:val="left" w:pos="720" w:leader="none"/>
              </w:tabs>
              <w:rPr>
                <w:color w:val="000000"/>
                <w:sz w:val="22"/>
              </w:rPr>
            </w:pPr>
            <w:r>
              <w:rPr>
                <w:color w:val="000000"/>
                <w:sz w:val="22"/>
              </w:rPr>
            </w:r>
          </w:p>
        </w:tc>
        <w:tc>
          <w:tcPr>
            <w:tcW w:w="1368"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snapToGrid w:val="false"/>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t>100</w:t>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t>--</w:t>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t>--</w:t>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t>100</w:t>
            </w:r>
          </w:p>
        </w:tc>
        <w:tc>
          <w:tcPr>
            <w:tcW w:w="1368"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snapToGrid w:val="false"/>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t>50</w:t>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t>50</w:t>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t>--</w:t>
            </w:r>
          </w:p>
          <w:p>
            <w:pPr>
              <w:pStyle w:val="Normal"/>
              <w:widowControl w:val="false"/>
              <w:tabs>
                <w:tab w:val="left" w:pos="720" w:leader="none"/>
              </w:tabs>
              <w:jc w:val="center"/>
              <w:rPr>
                <w:rFonts w:eastAsia="Arial"/>
                <w:color w:val="000000"/>
                <w:sz w:val="22"/>
              </w:rPr>
            </w:pPr>
            <w:r>
              <w:rPr>
                <w:rFonts w:eastAsia="Arial"/>
                <w:color w:val="000000"/>
                <w:sz w:val="22"/>
              </w:rPr>
              <w:t xml:space="preserve">  </w:t>
            </w:r>
          </w:p>
          <w:p>
            <w:pPr>
              <w:pStyle w:val="Normal"/>
              <w:widowControl w:val="false"/>
              <w:tabs>
                <w:tab w:val="left" w:pos="720" w:leader="none"/>
              </w:tabs>
              <w:jc w:val="center"/>
              <w:rPr>
                <w:color w:val="000000"/>
                <w:sz w:val="22"/>
              </w:rPr>
            </w:pPr>
            <w:r>
              <w:rPr>
                <w:color w:val="000000"/>
                <w:sz w:val="22"/>
              </w:rPr>
              <w:t>100</w:t>
            </w:r>
          </w:p>
        </w:tc>
        <w:tc>
          <w:tcPr>
            <w:tcW w:w="1368"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snapToGrid w:val="false"/>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t>50</w:t>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t>--</w:t>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t>50</w:t>
            </w:r>
          </w:p>
          <w:p>
            <w:pPr>
              <w:pStyle w:val="Normal"/>
              <w:widowControl w:val="false"/>
              <w:tabs>
                <w:tab w:val="left" w:pos="720" w:leader="none"/>
              </w:tabs>
              <w:jc w:val="center"/>
              <w:rPr>
                <w:rFonts w:eastAsia="Arial"/>
                <w:color w:val="000000"/>
                <w:sz w:val="22"/>
              </w:rPr>
            </w:pPr>
            <w:r>
              <w:rPr>
                <w:rFonts w:eastAsia="Arial"/>
                <w:color w:val="000000"/>
                <w:sz w:val="22"/>
              </w:rPr>
              <w:t xml:space="preserve">     </w:t>
            </w:r>
          </w:p>
          <w:p>
            <w:pPr>
              <w:pStyle w:val="Normal"/>
              <w:widowControl w:val="false"/>
              <w:tabs>
                <w:tab w:val="left" w:pos="720" w:leader="none"/>
              </w:tabs>
              <w:jc w:val="center"/>
              <w:rPr>
                <w:color w:val="000000"/>
                <w:sz w:val="22"/>
              </w:rPr>
            </w:pPr>
            <w:r>
              <w:rPr>
                <w:color w:val="000000"/>
                <w:sz w:val="22"/>
              </w:rPr>
              <w:t>100</w:t>
            </w:r>
          </w:p>
        </w:tc>
        <w:tc>
          <w:tcPr>
            <w:tcW w:w="1368"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snapToGrid w:val="false"/>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t>--</w:t>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t>--</w:t>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t>100</w:t>
            </w:r>
          </w:p>
          <w:p>
            <w:pPr>
              <w:pStyle w:val="Normal"/>
              <w:widowControl w:val="false"/>
              <w:tabs>
                <w:tab w:val="left" w:pos="720" w:leader="none"/>
              </w:tabs>
              <w:jc w:val="center"/>
              <w:rPr>
                <w:rFonts w:eastAsia="Arial"/>
                <w:color w:val="000000"/>
                <w:sz w:val="22"/>
              </w:rPr>
            </w:pPr>
            <w:r>
              <w:rPr>
                <w:rFonts w:eastAsia="Arial"/>
                <w:color w:val="000000"/>
                <w:sz w:val="22"/>
              </w:rPr>
              <w:t xml:space="preserve">     </w:t>
            </w:r>
          </w:p>
          <w:p>
            <w:pPr>
              <w:pStyle w:val="Normal"/>
              <w:widowControl w:val="false"/>
              <w:tabs>
                <w:tab w:val="left" w:pos="720" w:leader="none"/>
              </w:tabs>
              <w:jc w:val="center"/>
              <w:rPr>
                <w:color w:val="000000"/>
                <w:sz w:val="22"/>
              </w:rPr>
            </w:pPr>
            <w:r>
              <w:rPr>
                <w:color w:val="000000"/>
                <w:sz w:val="22"/>
              </w:rPr>
              <w:t>100</w:t>
            </w:r>
          </w:p>
        </w:tc>
      </w:tr>
    </w:tbl>
    <w:p>
      <w:pPr>
        <w:pStyle w:val="Normal"/>
        <w:jc w:val="both"/>
        <w:rPr/>
      </w:pPr>
      <w:r>
        <w:rPr/>
      </w:r>
    </w:p>
    <w:p>
      <w:pPr>
        <w:pStyle w:val="Normal"/>
        <w:jc w:val="both"/>
        <w:rPr>
          <w:sz w:val="16"/>
        </w:rPr>
      </w:pPr>
      <w:r>
        <w:rPr>
          <w:sz w:val="16"/>
        </w:rPr>
        <w:t>Notes for Table 7</w:t>
      </w:r>
    </w:p>
    <w:p>
      <w:pPr>
        <w:pStyle w:val="Normal"/>
        <w:jc w:val="both"/>
        <w:rPr>
          <w:sz w:val="16"/>
        </w:rPr>
      </w:pPr>
      <w:r>
        <w:rPr>
          <w:sz w:val="16"/>
        </w:rPr>
        <w:t>(1)</w:t>
        <w:tab/>
        <w:t>Basis used for capital and O&amp;M cost projections.</w:t>
      </w:r>
    </w:p>
    <w:p>
      <w:pPr>
        <w:pStyle w:val="Normal"/>
        <w:jc w:val="both"/>
        <w:rPr>
          <w:sz w:val="16"/>
        </w:rPr>
      </w:pPr>
      <w:r>
        <w:rPr>
          <w:sz w:val="16"/>
        </w:rPr>
        <w:t>(2)</w:t>
        <w:tab/>
        <w:t>Requires upgraded fuel gas treatment system with higher capital and O&amp;M costs.</w:t>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b/>
          <w:sz w:val="16"/>
        </w:rPr>
      </w:pPr>
      <w:r>
        <w:rPr>
          <w:b/>
          <w:sz w:val="16"/>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t>2.5.3.2  Water Quality Requirements</w:t>
      </w:r>
    </w:p>
    <w:p>
      <w:pPr>
        <w:pStyle w:val="Normal"/>
        <w:jc w:val="both"/>
        <w:rPr/>
      </w:pPr>
      <w:r>
        <w:rPr/>
        <w:t>The plant is designed to operate with municipal potable water makeup that meets the criteria listed in Table 8.  These criteria were used in estimating specifications for the water treatment system.  The performance water criteria listed in the table is the basis used for estimating the plant's water treatment requirement.  Water quality outside this range will typically require more frequent maintenance intervals or additional treatment equipment.</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b/>
        </w:rPr>
      </w:pPr>
      <w:r>
        <w:rPr>
          <w:b/>
        </w:rPr>
        <w:t>Table 8</w:t>
      </w:r>
    </w:p>
    <w:p>
      <w:pPr>
        <w:pStyle w:val="Normal"/>
        <w:jc w:val="center"/>
        <w:rPr>
          <w:b/>
        </w:rPr>
      </w:pPr>
      <w:r>
        <w:rPr>
          <w:b/>
        </w:rPr>
        <w:t>Water Requirements (Delivered to Site)</w:t>
      </w:r>
    </w:p>
    <w:p>
      <w:pPr>
        <w:pStyle w:val="Normal"/>
        <w:jc w:val="center"/>
        <w:rPr>
          <w:b/>
        </w:rPr>
      </w:pPr>
      <w:r>
        <w:rPr>
          <w:b/>
        </w:rPr>
      </w:r>
    </w:p>
    <w:tbl>
      <w:tblPr>
        <w:tblW w:w="7603" w:type="dxa"/>
        <w:jc w:val="start"/>
        <w:tblInd w:w="720" w:type="dxa"/>
        <w:tblLayout w:type="fixed"/>
        <w:tblCellMar>
          <w:top w:w="0" w:type="dxa"/>
          <w:start w:w="0" w:type="dxa"/>
          <w:bottom w:w="0" w:type="dxa"/>
          <w:end w:w="0" w:type="dxa"/>
        </w:tblCellMar>
      </w:tblPr>
      <w:tblGrid>
        <w:gridCol w:w="4003"/>
        <w:gridCol w:w="1800"/>
        <w:gridCol w:w="1800"/>
      </w:tblGrid>
      <w:tr>
        <w:trPr/>
        <w:tc>
          <w:tcPr>
            <w:tcW w:w="4003"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rPr>
                <w:color w:val="000000"/>
                <w:sz w:val="22"/>
              </w:rPr>
            </w:pPr>
            <w:r>
              <w:rPr>
                <w:color w:val="000000"/>
                <w:sz w:val="22"/>
              </w:rPr>
              <w:t>ITEM</w:t>
            </w:r>
          </w:p>
        </w:tc>
        <w:tc>
          <w:tcPr>
            <w:tcW w:w="18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jc w:val="center"/>
              <w:rPr>
                <w:color w:val="000000"/>
                <w:sz w:val="22"/>
              </w:rPr>
            </w:pPr>
            <w:r>
              <w:rPr>
                <w:color w:val="000000"/>
                <w:sz w:val="22"/>
              </w:rPr>
              <w:t>RANGE / LIMITS</w:t>
            </w:r>
          </w:p>
        </w:tc>
        <w:tc>
          <w:tcPr>
            <w:tcW w:w="18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jc w:val="center"/>
              <w:rPr>
                <w:color w:val="000000"/>
                <w:sz w:val="22"/>
              </w:rPr>
            </w:pPr>
            <w:r>
              <w:rPr>
                <w:color w:val="000000"/>
                <w:sz w:val="22"/>
              </w:rPr>
              <w:t>PERFORMANCE</w:t>
            </w:r>
          </w:p>
          <w:p>
            <w:pPr>
              <w:pStyle w:val="Normal"/>
              <w:widowControl w:val="false"/>
              <w:tabs>
                <w:tab w:val="left" w:pos="720" w:leader="none"/>
              </w:tabs>
              <w:jc w:val="center"/>
              <w:rPr>
                <w:color w:val="000000"/>
                <w:sz w:val="22"/>
              </w:rPr>
            </w:pPr>
            <w:r>
              <w:rPr>
                <w:color w:val="000000"/>
                <w:sz w:val="22"/>
              </w:rPr>
              <w:t xml:space="preserve">WATER </w:t>
            </w:r>
            <w:r>
              <w:rPr>
                <w:color w:val="000000"/>
                <w:sz w:val="22"/>
                <w:vertAlign w:val="superscript"/>
              </w:rPr>
              <w:t>(1)</w:t>
            </w:r>
          </w:p>
        </w:tc>
      </w:tr>
      <w:tr>
        <w:trPr/>
        <w:tc>
          <w:tcPr>
            <w:tcW w:w="4003"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rPr>
                <w:color w:val="000000"/>
                <w:sz w:val="22"/>
              </w:rPr>
            </w:pPr>
            <w:r>
              <w:rPr>
                <w:color w:val="000000"/>
                <w:sz w:val="22"/>
                <w:u w:val="single"/>
              </w:rPr>
              <w:t>Quality</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Calcium (Ca), mg/l as CaCO</w:t>
            </w:r>
            <w:r>
              <w:rPr>
                <w:color w:val="000000"/>
                <w:position w:val="-5"/>
                <w:sz w:val="12"/>
              </w:rPr>
              <w:t>3</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Magnesium (Mg), mg/l as CaCO</w:t>
            </w:r>
            <w:r>
              <w:rPr>
                <w:color w:val="000000"/>
                <w:position w:val="-5"/>
                <w:sz w:val="12"/>
              </w:rPr>
              <w:t>3</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Sodium (Na), mg/l</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Bicarbonate (HCO</w:t>
            </w:r>
            <w:r>
              <w:rPr>
                <w:color w:val="000000"/>
                <w:position w:val="-5"/>
                <w:sz w:val="12"/>
              </w:rPr>
              <w:t>3</w:t>
            </w:r>
            <w:r>
              <w:rPr>
                <w:color w:val="000000"/>
                <w:sz w:val="22"/>
              </w:rPr>
              <w:t>), mg/l as CaCO</w:t>
            </w:r>
            <w:r>
              <w:rPr>
                <w:color w:val="000000"/>
                <w:position w:val="-5"/>
                <w:sz w:val="12"/>
              </w:rPr>
              <w:t>3</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Chloride (Cl), mg/l</w:t>
            </w:r>
          </w:p>
          <w:p>
            <w:pPr>
              <w:pStyle w:val="Normal"/>
              <w:widowControl w:val="false"/>
              <w:tabs>
                <w:tab w:val="left" w:pos="720" w:leader="none"/>
              </w:tabs>
              <w:rPr/>
            </w:pPr>
            <w:r>
              <w:rPr>
                <w:rFonts w:eastAsia="Arial"/>
                <w:color w:val="000000"/>
                <w:sz w:val="22"/>
              </w:rPr>
              <w:t xml:space="preserve"> </w:t>
            </w:r>
            <w:r>
              <w:rPr>
                <w:color w:val="000000"/>
                <w:sz w:val="22"/>
              </w:rPr>
              <w:t>Sulfate (SO</w:t>
            </w:r>
            <w:r>
              <w:rPr>
                <w:color w:val="000000"/>
                <w:position w:val="-5"/>
                <w:sz w:val="12"/>
              </w:rPr>
              <w:t>4</w:t>
            </w:r>
            <w:r>
              <w:rPr>
                <w:color w:val="000000"/>
                <w:sz w:val="22"/>
              </w:rPr>
              <w:t>), mg/l</w:t>
            </w:r>
          </w:p>
          <w:p>
            <w:pPr>
              <w:pStyle w:val="Normal"/>
              <w:widowControl w:val="false"/>
              <w:tabs>
                <w:tab w:val="left" w:pos="720" w:leader="none"/>
              </w:tabs>
              <w:rPr>
                <w:rFonts w:eastAsia="Arial"/>
                <w:color w:val="000000"/>
                <w:sz w:val="22"/>
              </w:rPr>
            </w:pPr>
            <w:r>
              <w:rPr>
                <w:rFonts w:eastAsia="Arial"/>
                <w:color w:val="000000"/>
                <w:sz w:val="22"/>
              </w:rPr>
              <w:t xml:space="preserve"> </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Total Dissolved Solids, mg/l</w:t>
            </w:r>
          </w:p>
          <w:p>
            <w:pPr>
              <w:pStyle w:val="Normal"/>
              <w:widowControl w:val="false"/>
              <w:tabs>
                <w:tab w:val="left" w:pos="720" w:leader="none"/>
              </w:tabs>
              <w:rPr/>
            </w:pPr>
            <w:r>
              <w:rPr>
                <w:rFonts w:eastAsia="Arial"/>
                <w:color w:val="000000"/>
                <w:sz w:val="22"/>
              </w:rPr>
              <w:t xml:space="preserve"> </w:t>
            </w:r>
            <w:r>
              <w:rPr>
                <w:color w:val="000000"/>
                <w:sz w:val="22"/>
              </w:rPr>
              <w:t>Total Hardness as CaCO</w:t>
            </w:r>
            <w:r>
              <w:rPr>
                <w:color w:val="000000"/>
                <w:position w:val="-5"/>
                <w:sz w:val="12"/>
              </w:rPr>
              <w:t>3</w:t>
            </w:r>
            <w:r>
              <w:rPr>
                <w:color w:val="000000"/>
                <w:sz w:val="22"/>
              </w:rPr>
              <w:t>, mg/l</w:t>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pPr>
            <w:r>
              <w:rPr>
                <w:rFonts w:eastAsia="Arial"/>
                <w:color w:val="000000"/>
                <w:sz w:val="22"/>
              </w:rPr>
              <w:t xml:space="preserve"> </w:t>
            </w:r>
            <w:r>
              <w:rPr>
                <w:color w:val="000000"/>
                <w:sz w:val="22"/>
              </w:rPr>
              <w:t>Silica (SiO</w:t>
            </w:r>
            <w:r>
              <w:rPr>
                <w:color w:val="000000"/>
                <w:position w:val="-5"/>
                <w:sz w:val="12"/>
              </w:rPr>
              <w:t>2</w:t>
            </w:r>
            <w:r>
              <w:rPr>
                <w:color w:val="000000"/>
                <w:sz w:val="22"/>
              </w:rPr>
              <w:t>), mg/l</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Iron (Fe), mg/l</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Copper (Cu), mg/l</w:t>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Silt Density Index</w:t>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Specific Conductance, micromho/cm</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pH</w:t>
            </w:r>
          </w:p>
          <w:p>
            <w:pPr>
              <w:pStyle w:val="Normal"/>
              <w:widowControl w:val="false"/>
              <w:tabs>
                <w:tab w:val="left" w:pos="720" w:leader="none"/>
              </w:tabs>
              <w:rPr>
                <w:color w:val="000000"/>
                <w:sz w:val="22"/>
              </w:rPr>
            </w:pPr>
            <w:r>
              <w:rPr>
                <w:color w:val="000000"/>
                <w:sz w:val="22"/>
              </w:rPr>
            </w:r>
          </w:p>
          <w:p>
            <w:pPr>
              <w:pStyle w:val="Normal"/>
              <w:widowControl w:val="false"/>
              <w:tabs>
                <w:tab w:val="left" w:pos="720" w:leader="none"/>
              </w:tabs>
              <w:rPr>
                <w:color w:val="000000"/>
                <w:sz w:val="22"/>
              </w:rPr>
            </w:pPr>
            <w:r>
              <w:rPr>
                <w:color w:val="000000"/>
                <w:sz w:val="22"/>
                <w:u w:val="single"/>
              </w:rPr>
              <w:t>Properties</w:t>
            </w:r>
          </w:p>
          <w:p>
            <w:pPr>
              <w:pStyle w:val="Normal"/>
              <w:widowControl w:val="false"/>
              <w:tabs>
                <w:tab w:val="left" w:pos="720" w:leader="none"/>
              </w:tabs>
              <w:rPr/>
            </w:pPr>
            <w:r>
              <w:rPr>
                <w:rFonts w:eastAsia="Arial"/>
                <w:color w:val="000000"/>
                <w:sz w:val="22"/>
              </w:rPr>
              <w:t xml:space="preserve"> </w:t>
            </w:r>
            <w:r>
              <w:rPr>
                <w:color w:val="000000"/>
                <w:sz w:val="22"/>
              </w:rPr>
              <w:t xml:space="preserve">Temperature, </w:t>
            </w:r>
            <w:r>
              <w:rPr>
                <w:rFonts w:cs="Symbol" w:ascii="Symbol" w:hAnsi="Symbol"/>
                <w:color w:val="000000"/>
                <w:sz w:val="22"/>
              </w:rPr>
              <w:sym w:font="Symbol" w:char="f0b0"/>
            </w:r>
            <w:r>
              <w:rPr>
                <w:color w:val="000000"/>
                <w:sz w:val="22"/>
              </w:rPr>
              <w:t>F</w:t>
            </w:r>
          </w:p>
          <w:p>
            <w:pPr>
              <w:pStyle w:val="Normal"/>
              <w:widowControl w:val="false"/>
              <w:tabs>
                <w:tab w:val="left" w:pos="720" w:leader="none"/>
              </w:tabs>
              <w:rPr>
                <w:color w:val="000000"/>
                <w:sz w:val="22"/>
              </w:rPr>
            </w:pPr>
            <w:r>
              <w:rPr>
                <w:rFonts w:eastAsia="Arial"/>
                <w:color w:val="000000"/>
                <w:sz w:val="22"/>
              </w:rPr>
              <w:t xml:space="preserve"> </w:t>
            </w:r>
            <w:r>
              <w:rPr>
                <w:color w:val="000000"/>
                <w:sz w:val="22"/>
              </w:rPr>
              <w:t>Pressure, psig</w:t>
            </w:r>
          </w:p>
          <w:p>
            <w:pPr>
              <w:pStyle w:val="Normal"/>
              <w:widowControl w:val="false"/>
              <w:tabs>
                <w:tab w:val="left" w:pos="720" w:leader="none"/>
              </w:tabs>
              <w:rPr>
                <w:rFonts w:eastAsia="Arial"/>
                <w:color w:val="000000"/>
                <w:sz w:val="22"/>
              </w:rPr>
            </w:pPr>
            <w:r>
              <w:rPr>
                <w:rFonts w:eastAsia="Arial"/>
                <w:color w:val="000000"/>
                <w:sz w:val="22"/>
              </w:rPr>
              <w:t xml:space="preserve"> </w:t>
            </w:r>
          </w:p>
        </w:tc>
        <w:tc>
          <w:tcPr>
            <w:tcW w:w="18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snapToGrid w:val="false"/>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t>0 - 120</w:t>
            </w:r>
          </w:p>
          <w:p>
            <w:pPr>
              <w:pStyle w:val="Normal"/>
              <w:widowControl w:val="false"/>
              <w:tabs>
                <w:tab w:val="left" w:pos="720" w:leader="none"/>
              </w:tabs>
              <w:jc w:val="center"/>
              <w:rPr>
                <w:color w:val="000000"/>
                <w:sz w:val="22"/>
              </w:rPr>
            </w:pPr>
            <w:r>
              <w:rPr>
                <w:color w:val="000000"/>
                <w:sz w:val="22"/>
              </w:rPr>
              <w:t>0 - 30</w:t>
            </w:r>
          </w:p>
          <w:p>
            <w:pPr>
              <w:pStyle w:val="Normal"/>
              <w:widowControl w:val="false"/>
              <w:tabs>
                <w:tab w:val="left" w:pos="720" w:leader="none"/>
              </w:tabs>
              <w:jc w:val="center"/>
              <w:rPr>
                <w:color w:val="000000"/>
                <w:sz w:val="22"/>
              </w:rPr>
            </w:pPr>
            <w:r>
              <w:rPr>
                <w:color w:val="000000"/>
                <w:sz w:val="22"/>
              </w:rPr>
              <w:t>N/A</w:t>
            </w:r>
          </w:p>
          <w:p>
            <w:pPr>
              <w:pStyle w:val="Normal"/>
              <w:widowControl w:val="false"/>
              <w:tabs>
                <w:tab w:val="left" w:pos="720" w:leader="none"/>
              </w:tabs>
              <w:jc w:val="center"/>
              <w:rPr>
                <w:color w:val="000000"/>
                <w:sz w:val="22"/>
              </w:rPr>
            </w:pPr>
            <w:r>
              <w:rPr>
                <w:color w:val="000000"/>
                <w:sz w:val="22"/>
              </w:rPr>
              <w:t>0 - 90</w:t>
            </w:r>
          </w:p>
          <w:p>
            <w:pPr>
              <w:pStyle w:val="Normal"/>
              <w:widowControl w:val="false"/>
              <w:tabs>
                <w:tab w:val="left" w:pos="720" w:leader="none"/>
              </w:tabs>
              <w:jc w:val="center"/>
              <w:rPr>
                <w:color w:val="000000"/>
                <w:sz w:val="22"/>
              </w:rPr>
            </w:pPr>
            <w:r>
              <w:rPr>
                <w:color w:val="000000"/>
                <w:sz w:val="22"/>
              </w:rPr>
              <w:t>0 - 50</w:t>
            </w:r>
          </w:p>
          <w:p>
            <w:pPr>
              <w:pStyle w:val="Normal"/>
              <w:widowControl w:val="false"/>
              <w:tabs>
                <w:tab w:val="left" w:pos="720" w:leader="none"/>
              </w:tabs>
              <w:jc w:val="center"/>
              <w:rPr>
                <w:color w:val="000000"/>
                <w:sz w:val="22"/>
              </w:rPr>
            </w:pPr>
            <w:r>
              <w:rPr>
                <w:color w:val="000000"/>
                <w:sz w:val="22"/>
              </w:rPr>
              <w:t>0 - 90</w:t>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t>0 - 350</w:t>
            </w:r>
          </w:p>
          <w:p>
            <w:pPr>
              <w:pStyle w:val="Normal"/>
              <w:widowControl w:val="false"/>
              <w:tabs>
                <w:tab w:val="left" w:pos="720" w:leader="none"/>
              </w:tabs>
              <w:jc w:val="center"/>
              <w:rPr>
                <w:color w:val="000000"/>
                <w:sz w:val="22"/>
              </w:rPr>
            </w:pPr>
            <w:r>
              <w:rPr>
                <w:color w:val="000000"/>
                <w:sz w:val="22"/>
              </w:rPr>
              <w:t>0 - 150</w:t>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t>0 - 10</w:t>
            </w:r>
          </w:p>
          <w:p>
            <w:pPr>
              <w:pStyle w:val="Normal"/>
              <w:widowControl w:val="false"/>
              <w:tabs>
                <w:tab w:val="left" w:pos="720" w:leader="none"/>
              </w:tabs>
              <w:jc w:val="center"/>
              <w:rPr>
                <w:color w:val="000000"/>
                <w:sz w:val="22"/>
              </w:rPr>
            </w:pPr>
            <w:r>
              <w:rPr>
                <w:color w:val="000000"/>
                <w:sz w:val="22"/>
              </w:rPr>
              <w:t>0 - 0.1</w:t>
            </w:r>
          </w:p>
          <w:p>
            <w:pPr>
              <w:pStyle w:val="Normal"/>
              <w:widowControl w:val="false"/>
              <w:tabs>
                <w:tab w:val="left" w:pos="720" w:leader="none"/>
              </w:tabs>
              <w:jc w:val="center"/>
              <w:rPr>
                <w:color w:val="000000"/>
                <w:sz w:val="22"/>
              </w:rPr>
            </w:pPr>
            <w:r>
              <w:rPr>
                <w:color w:val="000000"/>
                <w:sz w:val="22"/>
              </w:rPr>
              <w:t>0 - 0.05</w:t>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t>0 - 5</w:t>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t>0 - 580</w:t>
            </w:r>
          </w:p>
          <w:p>
            <w:pPr>
              <w:pStyle w:val="Normal"/>
              <w:widowControl w:val="false"/>
              <w:tabs>
                <w:tab w:val="left" w:pos="720" w:leader="none"/>
              </w:tabs>
              <w:jc w:val="center"/>
              <w:rPr>
                <w:color w:val="000000"/>
                <w:sz w:val="22"/>
              </w:rPr>
            </w:pPr>
            <w:r>
              <w:rPr>
                <w:color w:val="000000"/>
                <w:sz w:val="22"/>
              </w:rPr>
              <w:t>7 - 8.5</w:t>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t>40 - 90</w:t>
            </w:r>
          </w:p>
          <w:p>
            <w:pPr>
              <w:pStyle w:val="Normal"/>
              <w:widowControl w:val="false"/>
              <w:tabs>
                <w:tab w:val="left" w:pos="720" w:leader="none"/>
              </w:tabs>
              <w:jc w:val="center"/>
              <w:rPr>
                <w:color w:val="000000"/>
                <w:sz w:val="22"/>
              </w:rPr>
            </w:pPr>
            <w:r>
              <w:rPr>
                <w:color w:val="000000"/>
                <w:sz w:val="22"/>
              </w:rPr>
              <w:t>50 - 65</w:t>
            </w:r>
          </w:p>
          <w:p>
            <w:pPr>
              <w:pStyle w:val="Normal"/>
              <w:widowControl w:val="false"/>
              <w:tabs>
                <w:tab w:val="left" w:pos="720" w:leader="none"/>
              </w:tabs>
              <w:jc w:val="center"/>
              <w:rPr>
                <w:color w:val="000000"/>
                <w:sz w:val="22"/>
              </w:rPr>
            </w:pPr>
            <w:r>
              <w:rPr>
                <w:color w:val="000000"/>
                <w:sz w:val="22"/>
              </w:rPr>
            </w:r>
          </w:p>
        </w:tc>
        <w:tc>
          <w:tcPr>
            <w:tcW w:w="18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snapToGrid w:val="false"/>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t>44</w:t>
            </w:r>
          </w:p>
          <w:p>
            <w:pPr>
              <w:pStyle w:val="Normal"/>
              <w:widowControl w:val="false"/>
              <w:tabs>
                <w:tab w:val="left" w:pos="720" w:leader="none"/>
              </w:tabs>
              <w:jc w:val="center"/>
              <w:rPr>
                <w:color w:val="000000"/>
                <w:sz w:val="22"/>
              </w:rPr>
            </w:pPr>
            <w:r>
              <w:rPr>
                <w:color w:val="000000"/>
                <w:sz w:val="22"/>
              </w:rPr>
              <w:t>16</w:t>
            </w:r>
          </w:p>
          <w:p>
            <w:pPr>
              <w:pStyle w:val="Normal"/>
              <w:widowControl w:val="false"/>
              <w:tabs>
                <w:tab w:val="left" w:pos="720" w:leader="none"/>
              </w:tabs>
              <w:jc w:val="center"/>
              <w:rPr>
                <w:color w:val="000000"/>
                <w:sz w:val="22"/>
              </w:rPr>
            </w:pPr>
            <w:r>
              <w:rPr>
                <w:color w:val="000000"/>
                <w:sz w:val="22"/>
              </w:rPr>
              <w:t>16</w:t>
            </w:r>
          </w:p>
          <w:p>
            <w:pPr>
              <w:pStyle w:val="Normal"/>
              <w:widowControl w:val="false"/>
              <w:tabs>
                <w:tab w:val="left" w:pos="720" w:leader="none"/>
              </w:tabs>
              <w:jc w:val="center"/>
              <w:rPr>
                <w:color w:val="000000"/>
                <w:sz w:val="22"/>
              </w:rPr>
            </w:pPr>
            <w:r>
              <w:rPr>
                <w:color w:val="000000"/>
                <w:sz w:val="22"/>
              </w:rPr>
              <w:t>50</w:t>
            </w:r>
          </w:p>
          <w:p>
            <w:pPr>
              <w:pStyle w:val="Normal"/>
              <w:widowControl w:val="false"/>
              <w:tabs>
                <w:tab w:val="left" w:pos="720" w:leader="none"/>
              </w:tabs>
              <w:jc w:val="center"/>
              <w:rPr>
                <w:color w:val="000000"/>
                <w:sz w:val="22"/>
              </w:rPr>
            </w:pPr>
            <w:r>
              <w:rPr>
                <w:color w:val="000000"/>
                <w:sz w:val="22"/>
              </w:rPr>
              <w:t>17</w:t>
            </w:r>
          </w:p>
          <w:p>
            <w:pPr>
              <w:pStyle w:val="Normal"/>
              <w:widowControl w:val="false"/>
              <w:tabs>
                <w:tab w:val="left" w:pos="720" w:leader="none"/>
              </w:tabs>
              <w:jc w:val="center"/>
              <w:rPr>
                <w:color w:val="000000"/>
                <w:sz w:val="22"/>
              </w:rPr>
            </w:pPr>
            <w:r>
              <w:rPr>
                <w:color w:val="000000"/>
                <w:sz w:val="22"/>
              </w:rPr>
              <w:t>20</w:t>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t>135</w:t>
            </w:r>
          </w:p>
          <w:p>
            <w:pPr>
              <w:pStyle w:val="Normal"/>
              <w:widowControl w:val="false"/>
              <w:tabs>
                <w:tab w:val="left" w:pos="720" w:leader="none"/>
              </w:tabs>
              <w:jc w:val="center"/>
              <w:rPr>
                <w:color w:val="000000"/>
                <w:sz w:val="22"/>
              </w:rPr>
            </w:pPr>
            <w:r>
              <w:rPr>
                <w:color w:val="000000"/>
                <w:sz w:val="22"/>
              </w:rPr>
              <w:t>60</w:t>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t>3</w:t>
            </w:r>
          </w:p>
          <w:p>
            <w:pPr>
              <w:pStyle w:val="Normal"/>
              <w:widowControl w:val="false"/>
              <w:tabs>
                <w:tab w:val="left" w:pos="720" w:leader="none"/>
              </w:tabs>
              <w:jc w:val="center"/>
              <w:rPr>
                <w:color w:val="000000"/>
                <w:sz w:val="22"/>
              </w:rPr>
            </w:pPr>
            <w:r>
              <w:rPr>
                <w:color w:val="000000"/>
                <w:sz w:val="22"/>
              </w:rPr>
              <w:t>0.03</w:t>
            </w:r>
          </w:p>
          <w:p>
            <w:pPr>
              <w:pStyle w:val="Normal"/>
              <w:widowControl w:val="false"/>
              <w:tabs>
                <w:tab w:val="left" w:pos="720" w:leader="none"/>
              </w:tabs>
              <w:jc w:val="center"/>
              <w:rPr>
                <w:color w:val="000000"/>
                <w:sz w:val="22"/>
              </w:rPr>
            </w:pPr>
            <w:r>
              <w:rPr>
                <w:color w:val="000000"/>
                <w:sz w:val="22"/>
              </w:rPr>
              <w:t>0.01</w:t>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t>2</w:t>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t>205</w:t>
            </w:r>
          </w:p>
          <w:p>
            <w:pPr>
              <w:pStyle w:val="Normal"/>
              <w:widowControl w:val="false"/>
              <w:tabs>
                <w:tab w:val="left" w:pos="720" w:leader="none"/>
              </w:tabs>
              <w:jc w:val="center"/>
              <w:rPr>
                <w:color w:val="000000"/>
                <w:sz w:val="22"/>
              </w:rPr>
            </w:pPr>
            <w:r>
              <w:rPr>
                <w:color w:val="000000"/>
                <w:sz w:val="22"/>
              </w:rPr>
              <w:t>7.6</w:t>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r>
          </w:p>
          <w:p>
            <w:pPr>
              <w:pStyle w:val="Normal"/>
              <w:widowControl w:val="false"/>
              <w:tabs>
                <w:tab w:val="left" w:pos="720" w:leader="none"/>
              </w:tabs>
              <w:jc w:val="center"/>
              <w:rPr>
                <w:color w:val="000000"/>
                <w:sz w:val="22"/>
              </w:rPr>
            </w:pPr>
            <w:r>
              <w:rPr>
                <w:color w:val="000000"/>
                <w:sz w:val="22"/>
              </w:rPr>
              <w:t>59</w:t>
            </w:r>
          </w:p>
          <w:p>
            <w:pPr>
              <w:pStyle w:val="Normal"/>
              <w:widowControl w:val="false"/>
              <w:tabs>
                <w:tab w:val="left" w:pos="720" w:leader="none"/>
              </w:tabs>
              <w:jc w:val="center"/>
              <w:rPr>
                <w:color w:val="000000"/>
                <w:sz w:val="22"/>
              </w:rPr>
            </w:pPr>
            <w:r>
              <w:rPr>
                <w:color w:val="000000"/>
                <w:sz w:val="22"/>
              </w:rPr>
              <w:t>60</w:t>
            </w:r>
          </w:p>
          <w:p>
            <w:pPr>
              <w:pStyle w:val="Normal"/>
              <w:widowControl w:val="false"/>
              <w:tabs>
                <w:tab w:val="left" w:pos="720" w:leader="none"/>
              </w:tabs>
              <w:jc w:val="center"/>
              <w:rPr>
                <w:color w:val="000000"/>
                <w:sz w:val="22"/>
              </w:rPr>
            </w:pPr>
            <w:r>
              <w:rPr>
                <w:color w:val="000000"/>
                <w:sz w:val="22"/>
              </w:rPr>
            </w:r>
          </w:p>
        </w:tc>
      </w:tr>
    </w:tbl>
    <w:p>
      <w:pPr>
        <w:pStyle w:val="Normal"/>
        <w:jc w:val="both"/>
        <w:rPr/>
      </w:pPr>
      <w:r>
        <w:rPr/>
      </w:r>
    </w:p>
    <w:p>
      <w:pPr>
        <w:pStyle w:val="Normal"/>
        <w:jc w:val="both"/>
        <w:rPr>
          <w:sz w:val="16"/>
        </w:rPr>
      </w:pPr>
      <w:r>
        <w:rPr>
          <w:sz w:val="16"/>
        </w:rPr>
        <w:t>Note:</w:t>
      </w:r>
    </w:p>
    <w:p>
      <w:pPr>
        <w:pStyle w:val="Normal"/>
        <w:jc w:val="both"/>
        <w:rPr/>
      </w:pPr>
      <w:r>
        <w:rPr>
          <w:sz w:val="16"/>
        </w:rPr>
        <w:t>(1)   Basis used for estimating the powerplant water treatment requirements</w:t>
      </w:r>
    </w:p>
    <w:p>
      <w:pPr>
        <w:pStyle w:val="Normal"/>
        <w:jc w:val="both"/>
        <w:rPr>
          <w:sz w:val="16"/>
        </w:rPr>
      </w:pPr>
      <w:r>
        <w:rPr>
          <w:sz w:val="16"/>
        </w:rPr>
      </w:r>
    </w:p>
    <w:p>
      <w:pPr>
        <w:pStyle w:val="Normal"/>
        <w:jc w:val="both"/>
        <w:rPr>
          <w:sz w:val="16"/>
        </w:rPr>
      </w:pPr>
      <w:r>
        <w:rPr>
          <w:sz w:val="16"/>
        </w:rPr>
      </w:r>
    </w:p>
    <w:p>
      <w:pPr>
        <w:pStyle w:val="Normal"/>
        <w:jc w:val="both"/>
        <w:rPr/>
      </w:pPr>
      <w:r>
        <w:rPr/>
      </w:r>
    </w:p>
    <w:sectPr>
      <w:headerReference w:type="default" r:id="rId5"/>
      <w:headerReference w:type="first" r:id="rId6"/>
      <w:footerReference w:type="default" r:id="rId7"/>
      <w:footerReference w:type="first" r:id="rId8"/>
      <w:type w:val="nextPage"/>
      <w:pgSz w:w="12240" w:h="15840"/>
      <w:pgMar w:left="1440" w:right="1440" w:gutter="0" w:header="450" w:top="1260" w:footer="735"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20"/>
        <w:lang w:val="en-CA"/>
      </w:rPr>
    </w:pPr>
    <w:r>
      <w:rPr>
        <w:b/>
        <w:sz w:val="20"/>
        <w:lang w:val="en-CA"/>
      </w:rPr>
      <mc:AlternateContent>
        <mc:Choice Requires="wps">
          <w:drawing>
            <wp:anchor behindDoc="1" distT="0" distB="0" distL="114935" distR="114935" simplePos="0" locked="0" layoutInCell="1" allowOverlap="1" relativeHeight="18">
              <wp:simplePos x="0" y="0"/>
              <wp:positionH relativeFrom="column">
                <wp:posOffset>47625</wp:posOffset>
              </wp:positionH>
              <wp:positionV relativeFrom="paragraph">
                <wp:posOffset>130175</wp:posOffset>
              </wp:positionV>
              <wp:extent cx="5829300" cy="295275"/>
              <wp:effectExtent l="6350" t="6985" r="6350" b="5715"/>
              <wp:wrapNone/>
              <wp:docPr id="19" name=""/>
              <a:graphic xmlns:a="http://schemas.openxmlformats.org/drawingml/2006/main">
                <a:graphicData uri="http://schemas.microsoft.com/office/word/2010/wordprocessingShape">
                  <wps:wsp>
                    <wps:cNvSpPr/>
                    <wps:spPr>
                      <a:xfrm>
                        <a:off x="0" y="0"/>
                        <a:ext cx="5829480" cy="295200"/>
                      </a:xfrm>
                      <a:prstGeom prst="rect">
                        <a:avLst/>
                      </a:prstGeom>
                      <a:noFill/>
                      <a:ln w="1260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3.75pt;margin-top:10.25pt;width:458.95pt;height:23.2pt;mso-wrap-style:none;v-text-anchor:middle">
              <v:fill o:detectmouseclick="t" on="false"/>
              <v:stroke color="black" weight="12600" joinstyle="miter" endcap="flat"/>
              <w10:wrap type="none"/>
            </v:rect>
          </w:pict>
        </mc:Fallback>
      </mc:AlternateContent>
    </w:r>
  </w:p>
  <w:p>
    <w:pPr>
      <w:pStyle w:val="Footer"/>
      <w:jc w:val="center"/>
      <w:rPr>
        <w:b/>
        <w:sz w:val="20"/>
      </w:rPr>
    </w:pPr>
    <w:r>
      <w:rPr>
        <w:b/>
        <w:sz w:val="20"/>
      </w:rPr>
      <w:t>INFORMATION PROVIDED HEREIN IS BASED ON COMMERCIALLY REASONABLE ESTIMATES, SUBJECT TO CHANGE BASED ON FINAL DESIGN</w:t>
    </w:r>
  </w:p>
  <w:p>
    <w:pPr>
      <w:pStyle w:val="Footer"/>
      <w:jc w:val="center"/>
      <w:rPr>
        <w:b/>
        <w:sz w:val="20"/>
      </w:rPr>
    </w:pPr>
    <w:r>
      <w:rPr>
        <w:b/>
        <w:sz w:val="20"/>
      </w:rPr>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14</w:t>
    </w:r>
    <w:r>
      <w:rPr>
        <w:sz w:val="20"/>
      </w:rPr>
      <w:fldChar w:fldCharType="end"/>
    </w:r>
    <w:r>
      <w:rPr>
        <w:sz w:val="20"/>
      </w:rPr>
      <w:t xml:space="preserve"> of </w:t>
    </w:r>
    <w:r>
      <w:rPr>
        <w:sz w:val="20"/>
      </w:rPr>
      <w:fldChar w:fldCharType="begin"/>
    </w:r>
    <w:r>
      <w:rPr>
        <w:sz w:val="20"/>
      </w:rPr>
      <w:instrText xml:space="preserve"> NUMPAGES \* ARABIC </w:instrText>
    </w:r>
    <w:r>
      <w:rPr>
        <w:sz w:val="20"/>
      </w:rPr>
      <w:fldChar w:fldCharType="separate"/>
    </w:r>
    <w:r>
      <w:rPr>
        <w:sz w:val="20"/>
      </w:rPr>
      <w:t>15</w:t>
    </w:r>
    <w:r>
      <w:rP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b/>
        <w:sz w:val="20"/>
      </w:rPr>
    </w:pPr>
    <w:r>
      <w:rPr>
        <w:b/>
        <w:sz w:val="20"/>
      </w:rPr>
      <w:t>FuelCell Energy, Inc</w:t>
    </w:r>
  </w:p>
  <w:p>
    <w:pPr>
      <w:pStyle w:val="Header"/>
      <w:tabs>
        <w:tab w:val="clear" w:pos="8640"/>
        <w:tab w:val="center" w:pos="4320" w:leader="none"/>
        <w:tab w:val="right" w:pos="9360" w:leader="none"/>
      </w:tabs>
      <w:rPr>
        <w:sz w:val="20"/>
      </w:rPr>
    </w:pPr>
    <w:r>
      <w:rPr>
        <w:sz w:val="20"/>
      </w:rPr>
      <w:t>Powerplant Specification</w:t>
      <w:tab/>
      <w:tab/>
      <w:t>November, 2000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2"/>
      <w:numFmt w:val="decimal"/>
      <w:lvlText w:val="%1"/>
      <w:lvlJc w:val="start"/>
      <w:pPr>
        <w:tabs>
          <w:tab w:val="num" w:pos="360"/>
        </w:tabs>
        <w:ind w:start="360" w:hanging="360"/>
      </w:pPr>
      <w:rPr/>
    </w:lvl>
    <w:lvl w:ilvl="1">
      <w:start w:val="1"/>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color w:val="000000"/>
      <w:sz w:val="16"/>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jc w:val="center"/>
      <w:outlineLvl w:val="2"/>
    </w:pPr>
    <w:rPr>
      <w:b/>
    </w:rPr>
  </w:style>
  <w:style w:type="paragraph" w:styleId="Heading4">
    <w:name w:val="heading 4"/>
    <w:basedOn w:val="Normal"/>
    <w:next w:val="Normal"/>
    <w:qFormat/>
    <w:pPr>
      <w:keepNext w:val="true"/>
      <w:widowControl w:val="false"/>
      <w:numPr>
        <w:ilvl w:val="3"/>
        <w:numId w:val="1"/>
      </w:numPr>
      <w:tabs>
        <w:tab w:val="clear" w:pos="720"/>
        <w:tab w:val="left" w:pos="1095" w:leader="none"/>
        <w:tab w:val="left" w:pos="2880" w:leader="none"/>
        <w:tab w:val="left" w:pos="3615" w:leader="none"/>
        <w:tab w:val="left" w:pos="4320" w:leader="none"/>
        <w:tab w:val="left" w:pos="5220" w:leader="none"/>
      </w:tabs>
      <w:jc w:val="center"/>
      <w:outlineLvl w:val="3"/>
    </w:pPr>
    <w:rPr>
      <w:b/>
      <w:color w:val="000000"/>
      <w:sz w:val="22"/>
    </w:rPr>
  </w:style>
  <w:style w:type="paragraph" w:styleId="Heading5">
    <w:name w:val="heading 5"/>
    <w:basedOn w:val="Normal"/>
    <w:next w:val="Normal"/>
    <w:qFormat/>
    <w:pPr>
      <w:keepNext w:val="true"/>
      <w:numPr>
        <w:ilvl w:val="4"/>
        <w:numId w:val="1"/>
      </w:numPr>
      <w:jc w:val="center"/>
      <w:outlineLvl w:val="4"/>
    </w:pPr>
    <w:rPr>
      <w:b/>
      <w:sz w:val="20"/>
    </w:rPr>
  </w:style>
  <w:style w:type="paragraph" w:styleId="Heading6">
    <w:name w:val="heading 6"/>
    <w:basedOn w:val="Normal"/>
    <w:next w:val="Normal"/>
    <w:qFormat/>
    <w:pPr>
      <w:keepNext w:val="true"/>
      <w:numPr>
        <w:ilvl w:val="5"/>
        <w:numId w:val="1"/>
      </w:numPr>
      <w:outlineLvl w:val="5"/>
    </w:pPr>
    <w:rPr>
      <w:sz w:val="22"/>
      <w:u w:val="single"/>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tabs>
        <w:tab w:val="clear" w:pos="720"/>
        <w:tab w:val="left" w:pos="4320" w:leader="none"/>
      </w:tabs>
      <w:ind w:firstLine="720" w:start="0" w:end="0"/>
    </w:pPr>
    <w:rPr>
      <w:color w:val="000000"/>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rPr>
  </w:style>
  <w:style w:type="paragraph" w:styleId="BodyText3">
    <w:name w:val="Body Text 3"/>
    <w:basedOn w:val="Normal"/>
    <w:qFormat/>
    <w:pPr>
      <w:jc w:val="center"/>
    </w:pPr>
    <w:rPr>
      <w:b/>
      <w:sz w:val="4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2.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2000-11-28T11:40:00Z</dcterms:created>
  <dc:creator>Anthony Leo</dc:creator>
  <dc:description/>
  <dc:language>en-CA</dc:language>
  <cp:lastModifiedBy>Anthony Leo</cp:lastModifiedBy>
  <cp:lastPrinted>2000-04-21T17:23:00Z</cp:lastPrinted>
  <dcterms:modified xsi:type="dcterms:W3CDTF">2000-11-28T11:53:00Z</dcterms:modified>
  <cp:revision>4</cp:revision>
  <dc:subject/>
  <dc:title>1</dc:title>
</cp:coreProperties>
</file>