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10890" w:leader="none"/>
        </w:tabs>
        <w:ind w:end="288"/>
        <w:jc w:val="center"/>
        <w:rPr>
          <w:b/>
          <w:sz w:val="20"/>
          <w:lang w:eastAsia="en-US"/>
        </w:rPr>
      </w:pPr>
      <w:r>
        <mc:AlternateContent>
          <mc:Choice Requires="wps">
            <w:drawing>
              <wp:anchor behindDoc="0" distT="0" distB="0" distL="114935" distR="114935" simplePos="0" locked="0" layoutInCell="1" allowOverlap="1" relativeHeight="4">
                <wp:simplePos x="0" y="0"/>
                <wp:positionH relativeFrom="column">
                  <wp:posOffset>-4923155</wp:posOffset>
                </wp:positionH>
                <wp:positionV relativeFrom="page">
                  <wp:posOffset>-4282440</wp:posOffset>
                </wp:positionV>
                <wp:extent cx="9391015" cy="457835"/>
                <wp:effectExtent l="0" t="0" r="0" b="0"/>
                <wp:wrapNone/>
                <wp:docPr id="1" name=""/>
                <a:graphic xmlns:a="http://schemas.openxmlformats.org/drawingml/2006/main">
                  <a:graphicData uri="http://schemas.microsoft.com/office/word/2010/wordprocessingShape">
                    <wps:wsp>
                      <wps:cNvSpPr txBox="1"/>
                      <wps:spPr>
                        <a:xfrm rot="16200000">
                          <a:off x="0" y="0"/>
                          <a:ext cx="9390960" cy="45792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auto"/>
                                <w:lang w:val="en-US"/>
                              </w:rPr>
                              <w:t xml:space="preserve"> The information in this Preliminary Offering Circular is not complete and may be changed.  This Preliminary Offering Circular is not an offer to sell these securities and is not soliciting an offer to buy these securities in any </w:t>
                            </w:r>
                          </w:p>
                          <w:p>
                            <w:pPr>
                              <w:overflowPunct w:val="false"/>
                              <w:bidi w:val="0"/>
                              <w:rPr/>
                            </w:pPr>
                            <w:r>
                              <w:rPr>
                                <w:kern w:val="2"/>
                                <w:sz w:val="16"/>
                                <w:szCs w:val="20"/>
                                <w:rFonts w:ascii="Times New Roman" w:hAnsi="Times New Roman" w:eastAsia="Times New Roman" w:cs="Times New Roman"/>
                                <w:color w:val="auto"/>
                                <w:lang w:val="en-US"/>
                              </w:rPr>
                              <w:t> jurisdiction where the offer or sale is not permitted.</w:t>
                            </w:r>
                          </w:p>
                        </w:txbxContent>
                      </wps:txbx>
                      <wps:bodyPr wrap="square"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387.7pt;margin-top:-337.25pt;width:739.4pt;height:36pt;mso-wrap-style:square;v-text-anchor:top;rotation:270;mso-position-vertical-relative:page" type="_x0000_t202">
                <v:textbox style="mso-layout-flow-alt:bottom-to-top">
                  <w:txbxContent>
                    <w:p>
                      <w:pPr>
                        <w:overflowPunct w:val="false"/>
                        <w:bidi w:val="0"/>
                        <w:rPr/>
                      </w:pPr>
                      <w:r>
                        <w:rPr>
                          <w:kern w:val="2"/>
                          <w:sz w:val="16"/>
                          <w:szCs w:val="20"/>
                          <w:rFonts w:ascii="Times New Roman" w:hAnsi="Times New Roman" w:eastAsia="Times New Roman" w:cs="Times New Roman"/>
                          <w:color w:val="auto"/>
                          <w:lang w:val="en-US"/>
                        </w:rPr>
                        <w:t xml:space="preserve"> The information in this Preliminary Offering Circular is not complete and may be changed.  This Preliminary Offering Circular is not an offer to sell these securities and is not soliciting an offer to buy these securities in any </w:t>
                      </w:r>
                    </w:p>
                    <w:p>
                      <w:pPr>
                        <w:overflowPunct w:val="false"/>
                        <w:bidi w:val="0"/>
                        <w:rPr/>
                      </w:pPr>
                      <w:r>
                        <w:rPr>
                          <w:kern w:val="2"/>
                          <w:sz w:val="16"/>
                          <w:szCs w:val="20"/>
                          <w:rFonts w:ascii="Times New Roman" w:hAnsi="Times New Roman" w:eastAsia="Times New Roman" w:cs="Times New Roman"/>
                          <w:color w:val="auto"/>
                          <w:lang w:val="en-US"/>
                        </w:rPr>
                        <w:t> jurisdiction where the offer or sale is not permitted.</w:t>
                      </w:r>
                    </w:p>
                  </w:txbxContent>
                </v:textbox>
                <v:fill o:detectmouseclick="t" on="false"/>
                <v:stroke color="#3465a4" joinstyle="round" endcap="flat"/>
                <w10:wrap type="none"/>
              </v:shape>
            </w:pict>
          </mc:Fallback>
        </mc:AlternateContent>
      </w:r>
      <w:r>
        <w:rPr>
          <w:b/>
          <w:sz w:val="20"/>
          <w:lang w:eastAsia="en-US"/>
        </w:rPr>
        <w:t>Subject to Completion, dated June __, 2000</w:t>
      </w:r>
    </w:p>
    <w:p>
      <w:pPr>
        <w:pStyle w:val="Normal"/>
        <w:tabs>
          <w:tab w:val="clear" w:pos="720"/>
          <w:tab w:val="right" w:pos="10890" w:leader="none"/>
        </w:tabs>
        <w:ind w:end="288"/>
        <w:jc w:val="center"/>
        <w:rPr>
          <w:b/>
          <w:sz w:val="20"/>
          <w:lang w:eastAsia="en-US"/>
        </w:rPr>
      </w:pPr>
      <w:r>
        <w:rPr>
          <w:b/>
          <w:sz w:val="20"/>
          <w:lang w:eastAsia="en-US"/>
        </w:rPr>
        <w:t>Preliminary Offering Circular</w:t>
      </w:r>
    </w:p>
    <w:p>
      <w:pPr>
        <w:pStyle w:val="Normal"/>
        <w:tabs>
          <w:tab w:val="clear" w:pos="720"/>
          <w:tab w:val="right" w:pos="10890" w:leader="none"/>
        </w:tabs>
        <w:spacing w:before="120" w:after="0"/>
        <w:ind w:end="288"/>
        <w:rPr/>
      </w:pPr>
      <w:r>
        <w:rPr>
          <w:b/>
          <w:lang w:eastAsia="en-US"/>
        </w:rPr>
        <w:t>OFFERING CIRCULAR</w:t>
      </w:r>
      <w:r>
        <w:rPr>
          <w:rFonts w:cs="III02620" w:ascii="III02620" w:hAnsi="III02620"/>
          <w:lang w:eastAsia="en-US"/>
        </w:rPr>
        <w:t xml:space="preserve"> </w:t>
        <w:tab/>
      </w:r>
      <w:r>
        <w:rPr>
          <w:b/>
          <w:lang w:eastAsia="en-US"/>
        </w:rPr>
        <w:t>CONFIDENTIAL</w:t>
      </w:r>
    </w:p>
    <w:p>
      <w:pPr>
        <w:pStyle w:val="Normal"/>
        <w:numPr>
          <w:ilvl w:val="0"/>
          <w:numId w:val="0"/>
        </w:numPr>
        <w:jc w:val="center"/>
        <w:outlineLvl w:val="0"/>
        <w:rPr>
          <w:b/>
          <w:sz w:val="28"/>
          <w:lang w:eastAsia="en-US"/>
        </w:rPr>
      </w:pPr>
      <w:r>
        <w:rPr>
          <w:b/>
          <w:sz w:val="28"/>
          <w:lang w:eastAsia="en-US"/>
        </w:rPr>
        <w:t>$[350,000,000]</w:t>
      </w:r>
    </w:p>
    <w:p>
      <w:pPr>
        <w:pStyle w:val="Normal"/>
        <w:numPr>
          <w:ilvl w:val="0"/>
          <w:numId w:val="0"/>
        </w:numPr>
        <w:jc w:val="center"/>
        <w:outlineLvl w:val="0"/>
        <w:rPr>
          <w:b/>
          <w:sz w:val="32"/>
          <w:lang w:eastAsia="en-US"/>
        </w:rPr>
      </w:pPr>
      <w:r>
        <w:rPr>
          <w:b/>
          <w:sz w:val="32"/>
          <w:lang w:eastAsia="en-US"/>
        </w:rPr>
        <w:t>Enron Pass-Through Asset Trust 2000-1</w:t>
      </w:r>
    </w:p>
    <w:p>
      <w:pPr>
        <w:pStyle w:val="Normal"/>
        <w:numPr>
          <w:ilvl w:val="0"/>
          <w:numId w:val="0"/>
        </w:numPr>
        <w:spacing w:before="0" w:after="120"/>
        <w:jc w:val="center"/>
        <w:outlineLvl w:val="0"/>
        <w:rPr/>
      </w:pPr>
      <w:r>
        <w:rPr>
          <w:b/>
          <w:sz w:val="24"/>
          <w:lang w:eastAsia="en-US"/>
        </w:rPr>
        <w:t xml:space="preserve">      </w:t>
      </w:r>
      <w:r>
        <w:rPr>
          <w:b/>
          <w:sz w:val="24"/>
          <w:lang w:eastAsia="en-US"/>
        </w:rPr>
        <w:t>% Pass-Through Asset Trust Securities (“PATS</w:t>
      </w:r>
      <w:r>
        <w:rPr>
          <w:rFonts w:cs="Times New Roman Bold" w:ascii="Times New Roman Bold" w:hAnsi="Times New Roman Bold"/>
          <w:b/>
          <w:sz w:val="16"/>
          <w:vertAlign w:val="superscript"/>
          <w:lang w:eastAsia="en-US"/>
        </w:rPr>
        <w:t>SM</w:t>
      </w:r>
      <w:r>
        <w:rPr>
          <w:b/>
          <w:sz w:val="24"/>
          <w:lang w:eastAsia="en-US"/>
        </w:rPr>
        <w:t>”) Due June 15, 2003</w:t>
      </w:r>
    </w:p>
    <w:p>
      <w:pPr>
        <w:pStyle w:val="coverbody"/>
        <w:rPr/>
      </w:pPr>
      <w:r>
        <w:rPr/>
        <w:t>Each     % Pass-Through Asset Trust Security Due June 15, 2003 (collectively, “PATS</w:t>
      </w:r>
      <w:r>
        <w:rPr>
          <w:sz w:val="16"/>
          <w:vertAlign w:val="superscript"/>
        </w:rPr>
        <w:t>SM</w:t>
      </w:r>
      <w:r>
        <w:rPr/>
        <w:t>” or the “Certificates”) will represent a fractional undivided beneficial interest in the assets of the Enron Pass-Through Asset Trust 2000-1(the “Trust”), formed pursuant to the Trust Agreement (the “Trust Agreement”) dated as of June 1, 2000 between Enron Corp., an Oregon corporation (“Enron”), and The Bank of New York, as trustee (the “Trustee”). The aggregate principal amount of the Certificates is $[350,000,000] (the “Certificate Principal Amount”). Holders of the Certificates (“Holders”) will be entitled to receive semi-annual US Dollar distributions (“Dollar Distributions”) equal to     % per annum on the Certificate Principal Amount, so long as certain Swap Termination Events (as defined herein) have not occurred. Holders will be entitled to receive distributions semi-annually on June 15 and December 15 of each year (each a “Distribution Date”), commencing December 15, 2000.</w:t>
      </w:r>
    </w:p>
    <w:p>
      <w:pPr>
        <w:pStyle w:val="coverbody"/>
        <w:ind w:end="288"/>
        <w:rPr/>
      </w:pPr>
      <w:r>
        <w:rPr/>
        <w:t>The sole assets of the Trust will consist of (a) £               principal amount of Reset Senior Notes Due June 15, 2028 (the “Senior Notes”) issued by Enron pursuant to the Indenture (as defined herein), (b) the rights of the Trust under a currency swap described below (the “Currency Swap”) to be entered into by the Trust and UBS AG, London Branch (the “Swap Counterparty”) and (c) the rights of the Trust under the Call Option (as defined herein). The Trust will purchase the Senior Notes with the £ Sterling received by the Trust from (i) the Swap Counterparty in exchange for the proceeds from the offering of the Certificates and (ii) the Callholder (as defined herein) in consideration for the Call Option.</w:t>
      </w:r>
    </w:p>
    <w:p>
      <w:pPr>
        <w:pStyle w:val="coverbody"/>
        <w:ind w:end="288"/>
        <w:rPr/>
      </w:pPr>
      <w:r>
        <w:rPr/>
        <w:t>Pursuant to the Currency Swap, on each Distribution Date, so long as no Swap Termination Event has occurred, the Swap Counterparty will be required to pay to the Trust a Dollar Swap Payment (as defined herein), which will be equal to the Dollar Distributions relating to such Distribution Date, and the Trust will be required to pay to the Swap Counterparty a Sterling Swap Payment (as defined herein), which will be equal to the interest payment made on the Senior Notes on the Interest Payment Date (as defined herein) corresponding to such Distribution Date. Holders will be entitled to receive the Final Distribution (as defined herein) on the Certificates on June 15, 2003  (the “Final Distribution Date”) as a result of the exercise of either the Early Redemption Right (as defined herein) or the Call Option. On the Final Distribution Date, all proceeds received by the Trust in £ Sterling as a result of the exercise of the Early Redemption Right or the Call Option, as the case may be, are required to be paid by the Trust to the Swap Counterparty and the Swap Counterparty will be required to pay to the Trust a US Dollar amount equal to the Certificate Principal Amount. Such amount, together with the Dollar Swap Payment required to be paid by the Swap Counterparty to the Trust on the Final Distribution Date, will be distributed to Holders to pay the principal of and interest on the Certificates on the Final Distribution Date.</w:t>
      </w:r>
    </w:p>
    <w:p>
      <w:pPr>
        <w:pStyle w:val="Normal"/>
        <w:spacing w:before="60" w:after="60"/>
        <w:ind w:end="202"/>
        <w:jc w:val="end"/>
        <w:rPr>
          <w:i/>
          <w:i/>
          <w:sz w:val="18"/>
          <w:lang w:eastAsia="en-US"/>
        </w:rPr>
      </w:pPr>
      <w:r>
        <w:rPr>
          <w:i/>
          <w:sz w:val="18"/>
          <w:lang w:eastAsia="en-US"/>
        </w:rPr>
        <w:t>(continued on next page)</w:t>
      </w:r>
    </w:p>
    <w:p>
      <w:pPr>
        <w:pStyle w:val="Normal"/>
        <w:ind w:firstLine="360" w:end="0"/>
        <w:rPr>
          <w:b/>
          <w:lang w:eastAsia="en-US"/>
        </w:rPr>
      </w:pPr>
      <w:r>
        <w:rPr>
          <w:b/>
          <w:lang w:eastAsia="en-US"/>
        </w:rPr>
        <w:t xml:space="preserve">See “Risk Factors” beginning on page 20 for a discussion of certain factors that should be considered in connection with an investment in the Certificates offered hereby. </w:t>
      </w:r>
    </w:p>
    <w:p>
      <w:pPr>
        <w:pStyle w:val="slugline"/>
        <w:spacing w:before="0" w:after="120"/>
        <w:rPr>
          <w:b/>
          <w:lang w:eastAsia="en-US"/>
        </w:rPr>
      </w:pPr>
      <w:r>
        <w:rPr>
          <w:b/>
          <w:lang w:eastAsia="en-US"/>
        </w:rPr>
      </w:r>
    </w:p>
    <w:p>
      <w:pPr>
        <w:pStyle w:val="Normal"/>
        <w:ind w:end="14"/>
        <w:jc w:val="center"/>
        <w:rPr/>
      </w:pPr>
      <w:r>
        <mc:AlternateContent>
          <mc:Choice Requires="wps">
            <w:drawing>
              <wp:anchor behindDoc="1" distT="0" distB="0" distL="114935" distR="114935" simplePos="0" locked="0" layoutInCell="0" allowOverlap="1" relativeHeight="2">
                <wp:simplePos x="0" y="0"/>
                <wp:positionH relativeFrom="column">
                  <wp:posOffset>5612130</wp:posOffset>
                </wp:positionH>
                <wp:positionV relativeFrom="paragraph">
                  <wp:posOffset>-47625</wp:posOffset>
                </wp:positionV>
                <wp:extent cx="1395095" cy="1645920"/>
                <wp:effectExtent l="0" t="635" r="635" b="0"/>
                <wp:wrapTight wrapText="left">
                  <wp:wrapPolygon edited="0">
                    <wp:start x="-5" y="0"/>
                    <wp:lineTo x="21605" y="21608"/>
                    <wp:lineTo x="-5" y="21608"/>
                    <wp:lineTo x="-5" y="0"/>
                    <wp:lineTo x="-5" y="0"/>
                  </wp:wrapPolygon>
                </wp:wrapTight>
                <wp:docPr id="2" name=""/>
                <a:graphic xmlns:a="http://schemas.openxmlformats.org/drawingml/2006/main">
                  <a:graphicData uri="http://schemas.microsoft.com/office/word/2010/wordprocessingShape">
                    <wps:wsp>
                      <wps:cNvSpPr/>
                      <wps:spPr>
                        <a:xfrm rot="16200000">
                          <a:off x="0" y="0"/>
                          <a:ext cx="1395000" cy="1645920"/>
                        </a:xfrm>
                        <a:prstGeom prst="rtTriangle">
                          <a:avLst/>
                        </a:prstGeom>
                        <a:solidFill>
                          <a:srgbClr val="ffffff"/>
                        </a:solidFill>
                        <a:ln w="0">
                          <a:noFill/>
                        </a:ln>
                      </wps:spPr>
                      <wps:style>
                        <a:lnRef idx="0"/>
                        <a:fillRef idx="0"/>
                        <a:effectRef idx="0"/>
                        <a:fontRef idx="minor"/>
                      </wps:style>
                      <wps:bodyPr/>
                    </wps:wsp>
                  </a:graphicData>
                </a:graphic>
              </wp:anchor>
            </w:drawing>
          </mc:Choice>
          <mc:Fallback>
            <w:pict>
              <v:shapetype id="_x0000_t6" coordsize="21600,21600" o:spt="6" path="m,21600l,l21600,21600xe">
                <v:stroke joinstyle="miter"/>
                <v:formulas>
                  <v:f eqn="prod height 7 12"/>
                  <v:f eqn="prod width 7 12"/>
                  <v:f eqn="prod height 11 12"/>
                </v:formulas>
                <v:path gradientshapeok="t" o:connecttype="rect" textboxrect="1800,@0,@1,@2"/>
              </v:shapetype>
              <v:shape id="shape_0" fillcolor="white" stroked="f" o:allowincell="f" style="position:absolute;margin-left:441.85pt;margin-top:-3.75pt;width:109.8pt;height:129.55pt;mso-wrap-style:none;v-text-anchor:middle;rotation:270" type="_x0000_t6">
                <v:fill o:detectmouseclick="t" type="solid" color2="black"/>
                <v:stroke color="#3465a4" joinstyle="round" endcap="flat"/>
                <w10:wrap type="square" side="left"/>
              </v:shape>
            </w:pict>
          </mc:Fallback>
        </mc:AlternateContent>
        <mc:AlternateContent>
          <mc:Choice Requires="wps">
            <w:drawing>
              <wp:anchor behindDoc="1" distT="0" distB="0" distL="114935" distR="114935" simplePos="0" locked="0" layoutInCell="0" allowOverlap="1" relativeHeight="3">
                <wp:simplePos x="0" y="0"/>
                <wp:positionH relativeFrom="column">
                  <wp:posOffset>80010</wp:posOffset>
                </wp:positionH>
                <wp:positionV relativeFrom="paragraph">
                  <wp:posOffset>-13335</wp:posOffset>
                </wp:positionV>
                <wp:extent cx="1395095" cy="1645920"/>
                <wp:effectExtent l="1270" t="635" r="0" b="0"/>
                <wp:wrapTight wrapText="right">
                  <wp:wrapPolygon edited="0">
                    <wp:start x="-5" y="0"/>
                    <wp:lineTo x="21605" y="21608"/>
                    <wp:lineTo x="-5" y="21608"/>
                    <wp:lineTo x="-5" y="0"/>
                    <wp:lineTo x="-5" y="0"/>
                  </wp:wrapPolygon>
                </wp:wrapTight>
                <wp:docPr id="3" name=""/>
                <a:graphic xmlns:a="http://schemas.openxmlformats.org/drawingml/2006/main">
                  <a:graphicData uri="http://schemas.microsoft.com/office/word/2010/wordprocessingShape">
                    <wps:wsp>
                      <wps:cNvSpPr/>
                      <wps:spPr>
                        <a:xfrm flipH="1" rot="5400000">
                          <a:off x="0" y="0"/>
                          <a:ext cx="1395000" cy="1645920"/>
                        </a:xfrm>
                        <a:prstGeom prst="rtTriangle">
                          <a:avLst/>
                        </a:prstGeom>
                        <a:solidFill>
                          <a:srgbClr val="ffffff"/>
                        </a:solidFill>
                        <a:ln w="0">
                          <a:noFill/>
                        </a:ln>
                      </wps:spPr>
                      <wps:style>
                        <a:lnRef idx="0"/>
                        <a:fillRef idx="0"/>
                        <a:effectRef idx="0"/>
                        <a:fontRef idx="minor"/>
                      </wps:style>
                      <wps:bodyPr/>
                    </wps:wsp>
                  </a:graphicData>
                </a:graphic>
              </wp:anchor>
            </w:drawing>
          </mc:Choice>
          <mc:Fallback>
            <w:pict>
              <v:shape id="shape_0" fillcolor="white" stroked="f" o:allowincell="f" style="position:absolute;margin-left:6.25pt;margin-top:-1.05pt;width:109.8pt;height:129.55pt;flip:x;mso-wrap-style:none;v-text-anchor:middle;rotation:270" type="_x0000_t6">
                <v:fill o:detectmouseclick="t" type="solid" color2="black"/>
                <v:stroke color="#3465a4" joinstyle="round" endcap="flat"/>
                <w10:wrap type="square" side="right"/>
              </v:shape>
            </w:pict>
          </mc:Fallback>
        </mc:AlternateContent>
      </w:r>
      <w:r>
        <w:rPr/>
        <w:t>THE CERTIFICATES HAVE NOT BEEN AND WILL NOT BE REGISTERED UNDER THE UNITED STATES SECURITIES ACT OF 1933, AS AMENDED (THE “SECURITIES ACT”), OR ANY STATE SECURITIES LAWS AND MAY NOT BE OFFERED OR SOLD EXCEPT PURSUANT TO AN EXEMPTION FROM, OR IN A TRANSACTION NOT SUBJECT TO, THE REGIS-TRATION REQUIREMENTS OF THE SECURITIES ACT AND APPLICABLE STATE SECURITIES LAWS. ACCORDINGLY, THE CERTIFICATES ARE BEING OFFERED AND SOLD ONLY (1) IN THE UNITED STATES (THE “US”) TO “QUALIFIED INSTITUTIONAL BUYERS” (AS DEFINED IN RULE 144A UNDER THE SECURITIES ACT (“RULE 144A”)) IN RELIANCE UPON THE EXEMPTION FROM THE SECURITIES ACT PROVIDED BY RULE 144A AND (2) IN OFFSHORE TRANSACTIONS  IN  COMPLIANCE  WITH  REGULATION  S  UNDER  THE SECURITIES ACT (“REGULATION S”).  SEE “NOTICE TO INVESTORS.”</w:t>
      </w:r>
    </w:p>
    <w:tbl>
      <w:tblPr>
        <w:tblW w:w="10998" w:type="dxa"/>
        <w:jc w:val="start"/>
        <w:tblInd w:w="0" w:type="dxa"/>
        <w:tblLayout w:type="fixed"/>
        <w:tblCellMar>
          <w:top w:w="0" w:type="dxa"/>
          <w:start w:w="108" w:type="dxa"/>
          <w:bottom w:w="0" w:type="dxa"/>
          <w:end w:w="108" w:type="dxa"/>
        </w:tblCellMar>
      </w:tblPr>
      <w:tblGrid>
        <w:gridCol w:w="3438"/>
        <w:gridCol w:w="1980"/>
        <w:gridCol w:w="1710"/>
        <w:gridCol w:w="1800"/>
        <w:gridCol w:w="2070"/>
      </w:tblGrid>
      <w:tr>
        <w:trPr/>
        <w:tc>
          <w:tcPr>
            <w:tcW w:w="3438" w:type="dxa"/>
            <w:tcBorders>
              <w:top w:val="double" w:sz="4" w:space="0" w:color="000000"/>
              <w:bottom w:val="single" w:sz="4" w:space="0" w:color="000000"/>
              <w:end w:val="single" w:sz="4" w:space="0" w:color="000000"/>
            </w:tcBorders>
          </w:tcPr>
          <w:p>
            <w:pPr>
              <w:pStyle w:val="Normal"/>
              <w:snapToGrid w:val="false"/>
              <w:rPr>
                <w:b/>
                <w:sz w:val="16"/>
                <w:lang w:eastAsia="en-US"/>
              </w:rPr>
            </w:pPr>
            <w:r>
              <w:rPr>
                <w:b/>
                <w:sz w:val="16"/>
                <w:lang w:eastAsia="en-US"/>
              </w:rPr>
            </w:r>
          </w:p>
        </w:tc>
        <w:tc>
          <w:tcPr>
            <w:tcW w:w="1980" w:type="dxa"/>
            <w:tcBorders>
              <w:top w:val="double" w:sz="4" w:space="0" w:color="000000"/>
              <w:start w:val="single" w:sz="4" w:space="0" w:color="000000"/>
              <w:bottom w:val="single" w:sz="4" w:space="0" w:color="000000"/>
              <w:end w:val="single" w:sz="4" w:space="0" w:color="000000"/>
            </w:tcBorders>
          </w:tcPr>
          <w:p>
            <w:pPr>
              <w:pStyle w:val="Normal"/>
              <w:jc w:val="center"/>
              <w:rPr>
                <w:b/>
                <w:sz w:val="16"/>
                <w:lang w:eastAsia="en-US"/>
              </w:rPr>
            </w:pPr>
            <w:r>
              <w:rPr>
                <w:b/>
                <w:sz w:val="16"/>
                <w:lang w:eastAsia="en-US"/>
              </w:rPr>
              <w:t>Principal Amount</w:t>
            </w:r>
          </w:p>
        </w:tc>
        <w:tc>
          <w:tcPr>
            <w:tcW w:w="1710" w:type="dxa"/>
            <w:tcBorders>
              <w:top w:val="double" w:sz="4" w:space="0" w:color="000000"/>
              <w:start w:val="single" w:sz="4" w:space="0" w:color="000000"/>
              <w:bottom w:val="single" w:sz="4" w:space="0" w:color="000000"/>
              <w:end w:val="single" w:sz="4" w:space="0" w:color="000000"/>
            </w:tcBorders>
          </w:tcPr>
          <w:p>
            <w:pPr>
              <w:pStyle w:val="Normal"/>
              <w:jc w:val="center"/>
              <w:rPr>
                <w:b/>
                <w:sz w:val="16"/>
                <w:lang w:eastAsia="en-US"/>
              </w:rPr>
            </w:pPr>
            <w:r>
              <w:rPr>
                <w:b/>
                <w:sz w:val="16"/>
                <w:lang w:eastAsia="en-US"/>
              </w:rPr>
              <w:t>Par Value</w:t>
            </w:r>
          </w:p>
        </w:tc>
        <w:tc>
          <w:tcPr>
            <w:tcW w:w="1800" w:type="dxa"/>
            <w:tcBorders>
              <w:top w:val="double" w:sz="4" w:space="0" w:color="000000"/>
              <w:start w:val="single" w:sz="4" w:space="0" w:color="000000"/>
              <w:bottom w:val="single" w:sz="4" w:space="0" w:color="000000"/>
              <w:end w:val="single" w:sz="4" w:space="0" w:color="000000"/>
            </w:tcBorders>
          </w:tcPr>
          <w:p>
            <w:pPr>
              <w:pStyle w:val="Normal"/>
              <w:jc w:val="center"/>
              <w:rPr>
                <w:b/>
                <w:sz w:val="16"/>
                <w:lang w:eastAsia="en-US"/>
              </w:rPr>
            </w:pPr>
            <w:r>
              <w:rPr>
                <w:b/>
                <w:sz w:val="16"/>
                <w:lang w:eastAsia="en-US"/>
              </w:rPr>
              <w:t>Price to Investors(1)</w:t>
            </w:r>
          </w:p>
        </w:tc>
        <w:tc>
          <w:tcPr>
            <w:tcW w:w="2070" w:type="dxa"/>
            <w:tcBorders>
              <w:top w:val="double" w:sz="4" w:space="0" w:color="000000"/>
              <w:start w:val="single" w:sz="4" w:space="0" w:color="000000"/>
              <w:bottom w:val="single" w:sz="4" w:space="0" w:color="000000"/>
            </w:tcBorders>
          </w:tcPr>
          <w:p>
            <w:pPr>
              <w:pStyle w:val="Normal"/>
              <w:jc w:val="center"/>
              <w:rPr>
                <w:b/>
                <w:sz w:val="16"/>
                <w:lang w:eastAsia="en-US"/>
              </w:rPr>
            </w:pPr>
            <w:r>
              <w:rPr>
                <w:b/>
                <w:sz w:val="16"/>
                <w:lang w:eastAsia="en-US"/>
              </w:rPr>
              <w:t>Final Distribution Date</w:t>
            </w:r>
          </w:p>
        </w:tc>
      </w:tr>
      <w:tr>
        <w:trPr/>
        <w:tc>
          <w:tcPr>
            <w:tcW w:w="3438" w:type="dxa"/>
            <w:tcBorders>
              <w:top w:val="single" w:sz="4" w:space="0" w:color="000000"/>
              <w:bottom w:val="double" w:sz="4" w:space="0" w:color="000000"/>
              <w:end w:val="single" w:sz="4" w:space="0" w:color="000000"/>
            </w:tcBorders>
          </w:tcPr>
          <w:p>
            <w:pPr>
              <w:pStyle w:val="Normal"/>
              <w:tabs>
                <w:tab w:val="clear" w:pos="720"/>
                <w:tab w:val="right" w:pos="3330" w:leader="dot"/>
              </w:tabs>
              <w:ind w:end="-29"/>
              <w:rPr>
                <w:sz w:val="18"/>
                <w:lang w:eastAsia="en-US"/>
              </w:rPr>
            </w:pPr>
            <w:r>
              <w:rPr>
                <w:sz w:val="18"/>
                <w:lang w:eastAsia="en-US"/>
              </w:rPr>
              <w:t xml:space="preserve">     </w:t>
            </w:r>
            <w:r>
              <w:rPr>
                <w:sz w:val="18"/>
                <w:lang w:eastAsia="en-US"/>
              </w:rPr>
              <w:t xml:space="preserve">% Pass-Through Asset Trust Securities Due </w:t>
            </w:r>
            <w:r>
              <w:rPr>
                <w:sz w:val="18"/>
              </w:rPr>
              <w:t>June 15, 2003</w:t>
            </w:r>
          </w:p>
        </w:tc>
        <w:tc>
          <w:tcPr>
            <w:tcW w:w="1980" w:type="dxa"/>
            <w:tcBorders>
              <w:top w:val="single" w:sz="4" w:space="0" w:color="000000"/>
              <w:start w:val="single" w:sz="4" w:space="0" w:color="000000"/>
              <w:bottom w:val="double" w:sz="4" w:space="0" w:color="000000"/>
              <w:end w:val="single" w:sz="4" w:space="0" w:color="000000"/>
            </w:tcBorders>
            <w:vAlign w:val="bottom"/>
          </w:tcPr>
          <w:p>
            <w:pPr>
              <w:pStyle w:val="Normal"/>
              <w:jc w:val="center"/>
              <w:rPr>
                <w:sz w:val="18"/>
                <w:lang w:eastAsia="en-US"/>
              </w:rPr>
            </w:pPr>
            <w:r>
              <w:rPr>
                <w:sz w:val="18"/>
                <w:lang w:eastAsia="en-US"/>
              </w:rPr>
              <w:t>$[350,000,000]</w:t>
            </w:r>
          </w:p>
        </w:tc>
        <w:tc>
          <w:tcPr>
            <w:tcW w:w="1710" w:type="dxa"/>
            <w:tcBorders>
              <w:top w:val="single" w:sz="4" w:space="0" w:color="000000"/>
              <w:start w:val="single" w:sz="4" w:space="0" w:color="000000"/>
              <w:bottom w:val="double" w:sz="4" w:space="0" w:color="000000"/>
              <w:end w:val="single" w:sz="4" w:space="0" w:color="000000"/>
            </w:tcBorders>
            <w:vAlign w:val="bottom"/>
          </w:tcPr>
          <w:p>
            <w:pPr>
              <w:pStyle w:val="Normal"/>
              <w:jc w:val="center"/>
              <w:rPr>
                <w:sz w:val="18"/>
                <w:lang w:eastAsia="en-US"/>
              </w:rPr>
            </w:pPr>
            <w:r>
              <w:rPr>
                <w:sz w:val="18"/>
                <w:lang w:eastAsia="en-US"/>
              </w:rPr>
              <w:t>100%</w:t>
            </w:r>
          </w:p>
        </w:tc>
        <w:tc>
          <w:tcPr>
            <w:tcW w:w="1800" w:type="dxa"/>
            <w:tcBorders>
              <w:top w:val="single" w:sz="4" w:space="0" w:color="000000"/>
              <w:start w:val="single" w:sz="4" w:space="0" w:color="000000"/>
              <w:bottom w:val="double" w:sz="4" w:space="0" w:color="000000"/>
              <w:end w:val="single" w:sz="4" w:space="0" w:color="000000"/>
            </w:tcBorders>
            <w:vAlign w:val="bottom"/>
          </w:tcPr>
          <w:p>
            <w:pPr>
              <w:pStyle w:val="Normal"/>
              <w:jc w:val="center"/>
              <w:rPr>
                <w:sz w:val="18"/>
                <w:lang w:eastAsia="en-US"/>
              </w:rPr>
            </w:pPr>
            <w:r>
              <w:rPr>
                <w:sz w:val="18"/>
                <w:lang w:eastAsia="en-US"/>
              </w:rPr>
              <w:t xml:space="preserve">     </w:t>
            </w:r>
            <w:r>
              <w:rPr>
                <w:sz w:val="18"/>
                <w:lang w:eastAsia="en-US"/>
              </w:rPr>
              <w:t>%</w:t>
            </w:r>
          </w:p>
        </w:tc>
        <w:tc>
          <w:tcPr>
            <w:tcW w:w="2070" w:type="dxa"/>
            <w:tcBorders>
              <w:top w:val="single" w:sz="4" w:space="0" w:color="000000"/>
              <w:start w:val="single" w:sz="4" w:space="0" w:color="000000"/>
              <w:bottom w:val="double" w:sz="4" w:space="0" w:color="000000"/>
            </w:tcBorders>
            <w:vAlign w:val="bottom"/>
          </w:tcPr>
          <w:p>
            <w:pPr>
              <w:pStyle w:val="Normal"/>
              <w:ind w:end="270"/>
              <w:jc w:val="center"/>
              <w:rPr>
                <w:sz w:val="18"/>
                <w:lang w:eastAsia="en-US"/>
              </w:rPr>
            </w:pPr>
            <w:r>
              <w:rPr>
                <w:sz w:val="18"/>
                <w:lang w:eastAsia="en-US"/>
              </w:rPr>
              <w:t>June 15, 2003</w:t>
            </w:r>
          </w:p>
        </w:tc>
      </w:tr>
    </w:tbl>
    <w:p>
      <w:pPr>
        <w:pStyle w:val="Normal"/>
        <w:spacing w:before="60" w:after="0"/>
        <w:rPr>
          <w:sz w:val="18"/>
          <w:lang w:eastAsia="en-US"/>
        </w:rPr>
      </w:pPr>
      <w:r>
        <w:rPr>
          <w:sz w:val="18"/>
          <w:lang w:eastAsia="en-US"/>
        </w:rPr>
        <w:t>(1) Plus accrued interest, if any, from the date of issuance.</w:t>
      </w:r>
    </w:p>
    <w:p>
      <w:pPr>
        <w:pStyle w:val="slugline"/>
        <w:rPr>
          <w:sz w:val="18"/>
          <w:lang w:eastAsia="en-US"/>
        </w:rPr>
      </w:pPr>
      <w:r>
        <w:rPr>
          <w:sz w:val="18"/>
          <w:lang w:eastAsia="en-US"/>
        </w:rPr>
      </w:r>
    </w:p>
    <w:p>
      <w:pPr>
        <w:pStyle w:val="coverbody"/>
        <w:ind w:end="198"/>
        <w:rPr/>
      </w:pPr>
      <w:r>
        <w:rPr/>
        <w:t>The Certificates are offered by the Initial Purchaser named below from time to time at the price set forth above, subject to prior sale and to the Initial Purchaser’s right to reject any order in whole or in part and to withdraw, cancel or modify the offer without notice. It is expected that delivery of the Certificates will be made in book-entry form through the facilities of The Depository Trust Company (“DTC”), on or about June  , 2000.</w:t>
      </w:r>
    </w:p>
    <w:p>
      <w:pPr>
        <w:pStyle w:val="Normal"/>
        <w:tabs>
          <w:tab w:val="clear" w:pos="720"/>
          <w:tab w:val="right" w:pos="10800" w:leader="none"/>
          <w:tab w:val="right" w:pos="11430" w:leader="none"/>
        </w:tabs>
        <w:spacing w:before="120" w:after="120"/>
        <w:ind w:end="14"/>
        <w:jc w:val="center"/>
        <w:rPr>
          <w:b/>
          <w:sz w:val="28"/>
          <w:lang w:eastAsia="en-US"/>
        </w:rPr>
      </w:pPr>
      <w:r>
        <w:rPr>
          <w:b/>
          <w:sz w:val="28"/>
          <w:lang w:eastAsia="en-US"/>
        </w:rPr>
        <w:t>UBS WARBURG LLC</w:t>
      </w:r>
    </w:p>
    <w:p>
      <w:pPr>
        <w:sectPr>
          <w:headerReference w:type="default" r:id="rId2"/>
          <w:headerReference w:type="first" r:id="rId3"/>
          <w:footerReference w:type="default" r:id="rId4"/>
          <w:footerReference w:type="first" r:id="rId5"/>
          <w:type w:val="nextPage"/>
          <w:pgSz w:w="12240" w:h="15840"/>
          <w:pgMar w:left="1008" w:right="288" w:gutter="0" w:header="720" w:top="776" w:footer="720" w:bottom="776"/>
          <w:pgNumType w:fmt="decimal"/>
          <w:formProt w:val="false"/>
          <w:titlePg/>
          <w:textDirection w:val="lrTb"/>
          <w:docGrid w:type="default" w:linePitch="360" w:charSpace="0"/>
        </w:sectPr>
        <w:pStyle w:val="Normal"/>
        <w:numPr>
          <w:ilvl w:val="0"/>
          <w:numId w:val="0"/>
        </w:numPr>
        <w:ind w:end="288"/>
        <w:jc w:val="center"/>
        <w:outlineLvl w:val="0"/>
        <w:rPr>
          <w:i/>
          <w:i/>
          <w:lang w:eastAsia="en-US"/>
        </w:rPr>
      </w:pPr>
      <w:r>
        <w:rPr>
          <w:i/>
          <w:lang w:eastAsia="en-US"/>
        </w:rPr>
        <w:t>The date of this Offering Circular is June    , 2000</w:t>
      </w:r>
    </w:p>
    <w:p>
      <w:pPr>
        <w:pStyle w:val="Normal"/>
        <w:rPr>
          <w:i/>
          <w:i/>
          <w:lang w:eastAsia="en-US"/>
        </w:rPr>
      </w:pPr>
      <w:r>
        <w:rPr>
          <w:i/>
          <w:lang w:eastAsia="en-US"/>
        </w:rPr>
        <w:t>(continued from cover page)</w:t>
      </w:r>
    </w:p>
    <w:p>
      <w:pPr>
        <w:pStyle w:val="BodyText"/>
        <w:rPr>
          <w:lang w:eastAsia="en-US"/>
        </w:rPr>
      </w:pPr>
      <w:r>
        <w:rPr>
          <w:lang w:eastAsia="en-US"/>
        </w:rPr>
        <w:t>The Currency Swap will terminate prior to the Final Distribution Date upon the occurrence of a Swap Termination Event. Upon the occurrence of an Event of Default (as defined herein) under the Indenture that causes an acceleration of the Senior Notes (a “Conversion Event”), the Senior Notes will automatically convert to US Dollar-denominated obligations in an aggregate principal amount equal to the Certificate Principal Amount with an annual interest rate of      %. Holders will thereafter be entitled to receive US Dollar distributions from the Trust of all amounts paid in respect of the Senior Notes. If a Swap Termination Event results from any reason other than a Conversion Event, Holders will thereafter be entitled to receive £ Sterling distributions from the Trust of all amounts paid in respect of the Senior Notes.</w:t>
      </w:r>
    </w:p>
    <w:p>
      <w:pPr>
        <w:pStyle w:val="BodyText"/>
        <w:rPr>
          <w:lang w:eastAsia="en-US"/>
        </w:rPr>
      </w:pPr>
      <w:r>
        <w:rPr>
          <w:lang w:eastAsia="en-US"/>
        </w:rPr>
        <w:t>The Certificates initially will be issued by the Trust in definitive, fully registered form and represented by the Global Certificates (as defined herein), which will be deposited with, or on behalf of, DTC and initially registered in the name of DTC’s nominee. Interests in the Global Certificates will be shown on, and transfers thereof will be effected only through, records maintained by DTC and its direct and indirect participants. Except in certain limited circumstances, Certificates in definitive form will not be issued in exchange for beneficial interests in the Global Certificates.</w:t>
      </w:r>
    </w:p>
    <w:p>
      <w:pPr>
        <w:pStyle w:val="BodyText"/>
        <w:rPr>
          <w:lang w:eastAsia="en-US"/>
        </w:rPr>
      </w:pPr>
      <w:r>
        <w:rPr>
          <w:lang w:eastAsia="en-US"/>
        </w:rPr>
        <w:t>As and to the extent described herein, amounts received by the Trust with respect to the Senior Notes, the Call Option or the Currency Swap will be distributed to Holders in the manner described herein. Accordingly, the ability of the Trust to make distributions on the Certificates will depend on the ability of Enron to meet its obligations on the Senior Notes and on the ability of the Trust to make Dollar Distributions, which will depend on the performance by the Swap Counterparty of its obligations under the Currency Swap.</w:t>
      </w:r>
    </w:p>
    <w:p>
      <w:pPr>
        <w:pStyle w:val="BodyText"/>
        <w:rPr>
          <w:lang w:eastAsia="en-US"/>
        </w:rPr>
      </w:pPr>
      <w:r>
        <w:rPr>
          <w:lang w:eastAsia="en-US"/>
        </w:rPr>
        <w:t>In exchange for certain consideration paid by UBS AG, London Branch (the “Callholder”) to the Trust, the Callholder has been granted an option (the “Call Option”) to purchase the Senior Notes from the Trust on the Final Distribution Date for a purchase price payable in £ Sterling equal to 100% of the principal amount of the Senior Notes (the “Call Price”). If the Callholder has not given the Trust notice on or before May    , 2003 that it intends to exercise the Call Option or if the Callholder fails to make payment of the Call Price by the Final Distribution Date, the Trust will have the right to require Enron to redeem all but not less than all of the Senior Notes (the “Early Redemption Right”) at a redemption price payable in £ Sterling equal to 100% of the principal amount thereof on the Final Distribution Date. Pursuant to the Trust Agreement, the Trust will be required to exercise the Early Redemption Right in such event. Upon the occurrence of a Conversion Event, the Call Option will terminate and neither the Trust nor the Callholder will owe any amounts thereunder.</w:t>
      </w:r>
      <w:r>
        <w:br w:type="page"/>
      </w:r>
    </w:p>
    <w:p>
      <w:pPr>
        <w:pStyle w:val="Heading1"/>
        <w:ind w:hanging="0" w:start="0"/>
        <w:rPr/>
      </w:pPr>
      <w:r>
        <w:rPr/>
        <w:t>Available Information</w:t>
      </w:r>
    </w:p>
    <w:p>
      <w:pPr>
        <w:pStyle w:val="BodyText"/>
        <w:rPr>
          <w:lang w:eastAsia="en-US"/>
        </w:rPr>
      </w:pPr>
      <w:r>
        <w:rPr>
          <w:lang w:eastAsia="en-US"/>
        </w:rPr>
        <w:t xml:space="preserve">Enron is subject to the informational requirements of the US Securities Exchange Act of 1934, as amended (the “Exchange Act”), and in accordance therewith files reports and other information with the US Securities and Exchange Commission (the “Commission”). Such reports and other information can be inspected and copied at the public reference facilities of the Commission at 450 Fifth Street, N.W., Washington, D.C. 20549 and at the Commission’s Regional Offices at 500 West Madison Street, Suite 1400, Chicago, Illinois 60661 and Seven World Trade Center, 13th Floor, New York, New York 10048. Copies of such material can also be obtained at prescribed rates by writing to the Public Reference Room of the Commission at 450 Fifth Street, N.W., Washington, D.C. 20549. The Commission maintains a Web site that contains reports, proxy and information statements and other information regarding registrants, including Enron, that file electronically at http://www.sec.gov. In addition, reports and other material concerning Enron can be inspected at the offices of the New York Stock Exchange, 20 Broad Street, New York, New York 10005, on which Exchange Enron has listed securities. </w:t>
      </w:r>
    </w:p>
    <w:p>
      <w:pPr>
        <w:pStyle w:val="BodyText"/>
        <w:rPr>
          <w:lang w:eastAsia="en-US"/>
        </w:rPr>
      </w:pPr>
      <w:r>
        <w:rPr>
          <w:lang w:eastAsia="en-US"/>
        </w:rPr>
        <w:t>The Trust does not, and does not expect to, file reports with the Commission or deliver an annual report to Holders pursuant to the Exchange Act. The Trust will provide without charge, upon the written request of a Holder or a prospective investor, a copy of such information as is required by Rule 144A to enable resales of the Certificates to be made pursuant to Rule 144A, to the extent such information has been provided to the Trust by Enron. Any such request should be made to the Trust at 101 Barclay Street, New York, New York 10286.</w:t>
      </w:r>
    </w:p>
    <w:p>
      <w:pPr>
        <w:pStyle w:val="Heading1"/>
        <w:ind w:hanging="0" w:start="0"/>
        <w:rPr/>
      </w:pPr>
      <w:r>
        <w:rPr/>
        <w:t>Incorporation of Certain Documents by Reference</w:t>
      </w:r>
    </w:p>
    <w:p>
      <w:pPr>
        <w:pStyle w:val="BodyText"/>
        <w:rPr>
          <w:lang w:eastAsia="en-US"/>
        </w:rPr>
      </w:pPr>
      <w:r>
        <w:rPr>
          <w:lang w:eastAsia="en-US"/>
        </w:rPr>
        <w:t>The following documents have been filed with the Commission pursuant to the Exchange Act and are incorporated herein by reference and made a part of this Offering Circular:</w:t>
      </w:r>
    </w:p>
    <w:p>
      <w:pPr>
        <w:pStyle w:val="indent5"/>
        <w:tabs>
          <w:tab w:val="clear" w:pos="720"/>
          <w:tab w:val="left" w:pos="1080" w:leader="none"/>
          <w:tab w:val="left" w:pos="1890" w:leader="none"/>
        </w:tabs>
        <w:ind w:hanging="0" w:start="360" w:end="0"/>
        <w:rPr>
          <w:lang w:eastAsia="en-US"/>
        </w:rPr>
      </w:pPr>
      <w:r>
        <w:rPr>
          <w:lang w:eastAsia="en-US"/>
        </w:rPr>
        <w:t>(a)</w:t>
        <w:tab/>
        <w:t>Enron’s Annual Report on Form 10-K for the fiscal year ended December 31, 1999; and</w:t>
      </w:r>
    </w:p>
    <w:p>
      <w:pPr>
        <w:pStyle w:val="indent5"/>
        <w:tabs>
          <w:tab w:val="clear" w:pos="720"/>
          <w:tab w:val="left" w:pos="1080" w:leader="none"/>
          <w:tab w:val="left" w:pos="1890" w:leader="none"/>
        </w:tabs>
        <w:ind w:hanging="0" w:start="360" w:end="0"/>
        <w:rPr>
          <w:lang w:eastAsia="en-US"/>
        </w:rPr>
      </w:pPr>
      <w:r>
        <w:rPr>
          <w:lang w:eastAsia="en-US"/>
        </w:rPr>
        <w:t>(b)</w:t>
        <w:tab/>
        <w:t>Enron’s Quarterly Report on Form 10-Q for the quarter ended March 31, 2000.</w:t>
      </w:r>
    </w:p>
    <w:p>
      <w:pPr>
        <w:pStyle w:val="BodyText"/>
        <w:rPr>
          <w:lang w:eastAsia="en-US"/>
        </w:rPr>
      </w:pPr>
      <w:r>
        <w:rPr>
          <w:lang w:eastAsia="en-US"/>
        </w:rPr>
        <w:t>All documents filed by Enron with the Commission pursuant to Section 13(a), 13(c), 14 or 15(d) of the Exchange Act subsequent to the date of this Offering Circular and prior to the termination of the offering of the Certificates will be deemed to be incorporated herein by reference and made a part of this Offering Circular from the date of filing of such documents. Any statement contained in a document incorporated or deemed to be incorporated by reference herein will be deemed to be modified or superseded for purposes of this Offering Circular to the extent that a statement contained herein or in any other subsequently filed document that also is or is deemed to be incorporated by reference herein modifies or supersedes such statement. Any statement so modified or superseded will not be deemed, except as so modified or superseded, to constitute a part of this Offering Circular.</w:t>
      </w:r>
    </w:p>
    <w:p>
      <w:pPr>
        <w:pStyle w:val="boldbody"/>
        <w:rPr/>
      </w:pPr>
      <w:r>
        <w:rPr/>
        <w:t>Enron will provide without charge to each person to whom this Offering Circular is delivered, on the written or oral request of any such person, a copy of any or all documents incorporated herein by reference (other than the exhibits to such documents unless such exhibits are specifically incorporated by reference).  Such requests should be directed to ______, Enron Corp., 1400 Smith St., Houston, Texas 77002-7369.</w:t>
      </w:r>
      <w:r>
        <w:br w:type="page"/>
      </w:r>
    </w:p>
    <w:p>
      <w:pPr>
        <w:pStyle w:val="Heading1"/>
        <w:ind w:hanging="0" w:start="0"/>
        <w:rPr/>
      </w:pPr>
      <w:r>
        <w:rPr/>
        <w:t>Forward-Looking Statements</w:t>
      </w:r>
    </w:p>
    <w:p>
      <w:pPr>
        <w:pStyle w:val="BodyText"/>
        <w:rPr/>
      </w:pPr>
      <w:r>
        <w:rPr>
          <w:lang w:eastAsia="en-US"/>
        </w:rPr>
        <w:t xml:space="preserve">This Offering Circular contains or incorporates by reference forward-looking statements.  </w:t>
      </w:r>
      <w:r>
        <w:rPr/>
        <w:t>All statements other than statements of historical facts contained in this document are forward-looking statements.  Although Enron believes that its expectations reflected in these forward-looking statements are based on reasonable assumptions, such statements involve risks and uncertainties and no assurance can be given that actual results will be consistent with these forward-looking statements. Important factors that could cause actual results to differ materially from those in the forward-looking statements herein include political developments in foreign countries; the ability of Enron to penetrate new retail natural gas and electricity markets (including energy outsourcing markets) in the United States and Europe; the ability to penetrate the broadband services market; the timing and extent of deregulation of energy markets in the United States and in foreign jurisdictions; other regulatory developments in the United States and in foreign countries, including tax legislation and regulations; the extent of efforts by governments to privatize natural gas and electric utilities and other industries; the timing and extent of changes in commodity prices for crude oil, natural gas, electricity, foreign currency and interest rates; the extent of success in acquiring oil and gas properties and in discovering, developing, producing and marketing reserves; the timing and success of Enron’s efforts to develop international power, pipeline and other infrastructure projects; the effectiveness of Enron’s risk management activities; the ability of counterparties to financial risk management instruments and other contracts with Enron to meet their financial commitments to Enron; and Enron’s ability to access the capital markets and equity markets during the periods covered by the forward-looking statements, which will depend on general market conditions and Enron’s ability to maintain or increase the credit ratings for its unsecured senior long-term debt obligations.</w:t>
      </w:r>
    </w:p>
    <w:p>
      <w:pPr>
        <w:pStyle w:val="slugline"/>
        <w:rPr/>
      </w:pPr>
      <w:r>
        <w:rPr/>
      </w:r>
    </w:p>
    <w:p>
      <w:pPr>
        <w:pStyle w:val="BodyText"/>
        <w:rPr>
          <w:lang w:eastAsia="en-US"/>
        </w:rPr>
      </w:pPr>
      <w:r>
        <w:rPr>
          <w:lang w:eastAsia="en-US"/>
        </w:rPr>
        <w:t>This Offering Circular is furnished by the Trust (but not the Trustee) and Enron in connection with an offering exempt from registration under, or in transactions not subject to, the Securities Act solely for the purposes of enabling a prospective investor to consider the purchase of the Certificates. The information contained in this Offering Circular has been provided by the Trust (but not the Trustee), the Swap Counterparty, Enron and other sources identified herein. No representation or warranty, expressed or implied, is made by the Initial Purchaser as to the accuracy or completeness of such information, and nothing contained in this Offering Circular is, or may be relied upon as, a promise or representation by the Initial Purchaser as to the past or the future. The securities offered hereby have not been registered under the Securities Act or any state securities laws and, unless so registered, may not be offered or sold except pursuant to an exemption from the registration requirements of, or in a transaction not subject to, the Securities Act and applicable state securities law. As a result, this offering is being made in reliance upon an exemption from registration under the Securities Act for an offer and sale of securities that does not involve a public offering or in transactions not subject to the Securities Act. Accordingly, each purchaser of the Certificates, in making its purchase, will be deemed to have made certain acknowledgements, representations and agreements relating to transfer restrictions, as set forth under “Notice to Investors.” Investors should be aware that they may be required to bear the financial risks of their investment for an indefinite period of time.</w:t>
      </w:r>
    </w:p>
    <w:p>
      <w:pPr>
        <w:pStyle w:val="BodyText"/>
        <w:rPr>
          <w:lang w:eastAsia="en-US"/>
        </w:rPr>
      </w:pPr>
      <w:r>
        <w:rPr>
          <w:lang w:eastAsia="en-US"/>
        </w:rPr>
        <w:t>In making an investment decision, investors must rely on their own examination of the Trust, the Swap Counterparty, Enron and the terms of this offering, including the merits and risks involved. This offering is being made on the basis of this Offering Circular (including the documents incorporated by reference herein) and any decision to purchase the Certificates in this offering must be based on the information contained or incorporated by reference herein. No representation is made to any offeree or purchaser of the Certificates regarding the legality of an investment therein by such offeree or purchaser under any applicable legal investment or similar laws or regulations. The contents of this Offering Circular are not to be construed as legal, business or tax advice. Each prospective investor should consult his or her own attorney, business and tax advisor as to legal, business and tax advice.</w:t>
      </w:r>
    </w:p>
    <w:p>
      <w:pPr>
        <w:pStyle w:val="BodyText"/>
        <w:rPr>
          <w:lang w:eastAsia="en-US"/>
        </w:rPr>
      </w:pPr>
      <w:r>
        <w:rPr>
          <w:lang w:eastAsia="en-US"/>
        </w:rPr>
        <w:t>The securities described herein have not been approved or disapproved by the Commission or any state securities commission or regulatory authority. Furthermore, the foregoing authorities have not reviewed this Offering Circular or confirmed the accuracy or determined the adequacy of this Offering Circular. Any representation to the contrary is a criminal offense.</w:t>
      </w:r>
    </w:p>
    <w:p>
      <w:pPr>
        <w:pStyle w:val="BodyText"/>
        <w:rPr>
          <w:lang w:eastAsia="en-US"/>
        </w:rPr>
      </w:pPr>
      <w:r>
        <w:rPr>
          <w:lang w:eastAsia="en-US"/>
        </w:rPr>
        <w:t>This Offering Circular has been prepared for use in connection with the placement of the securities described herein and does not constitute an offer to any other person or to the public generally to subscribe for or otherwise acquire such securities. Distribution in the US of this Offering Circular to any person other than the offeree and those persons, if any, retained to advise such offeree with respect to the offer and sale of the securities described herein is not authorized, and any disclosure of any of its contents, without the prior written consent of Enron, is prohibited. Each offeree in the US, by accepting delivery of this Offering Circular, agrees to the foregoing.</w:t>
      </w:r>
    </w:p>
    <w:p>
      <w:pPr>
        <w:pStyle w:val="BodyText"/>
        <w:rPr>
          <w:lang w:eastAsia="en-US"/>
        </w:rPr>
      </w:pPr>
      <w:r>
        <w:rPr>
          <w:lang w:eastAsia="en-US"/>
        </w:rPr>
        <w:t>Each person purchasing Certificates from the Initial Purchaser acknowledges that: (i) it has been afforded an opportunity to request from the Trust, Enron and the Swap Counterparty and to review, and it has received, all additional information considered by it to be necessary to verify the accuracy of the information herein; (ii) it has not relied on the Initial Purchaser or the Trust or any person affiliated with the Initial Purchaser or the Trust in connection with its investigation of the accuracy of the information contained in this Offering Circular or its investment decision; and (iii) except for information provided directly by the Trust, Enron and the Swap Counterparty pursuant to clause (i) above, no person has been authorized to give any information or to make any representation concerning the Certificates other than those contained in this Offering Circular and, if given or made, such other information or representation should not be relied upon as having been authorized by any of the Trust, Enron and the Swap Counterparty or the Initial Purchaser.</w:t>
      </w:r>
    </w:p>
    <w:p>
      <w:pPr>
        <w:pStyle w:val="BodyText"/>
        <w:rPr>
          <w:lang w:eastAsia="en-US"/>
        </w:rPr>
      </w:pPr>
      <w:r>
        <w:rPr>
          <w:lang w:eastAsia="en-US"/>
        </w:rPr>
        <w:t xml:space="preserve">In this Offering Circular, references to “pounds sterling,” “£ Sterling,” “Pounds” or “£” are to United Kingdom currency, references to “US Dollars,” “US$” or “$” are to US currency and references to “SFr” are to Swiss currency. </w:t>
      </w:r>
    </w:p>
    <w:p>
      <w:pPr>
        <w:pStyle w:val="Normal"/>
        <w:keepNext w:val="true"/>
        <w:numPr>
          <w:ilvl w:val="0"/>
          <w:numId w:val="0"/>
        </w:numPr>
        <w:spacing w:before="240" w:after="0"/>
        <w:outlineLvl w:val="0"/>
        <w:rPr>
          <w:b/>
          <w:i/>
          <w:i/>
          <w:lang w:eastAsia="en-US"/>
        </w:rPr>
      </w:pPr>
      <w:r>
        <w:rPr>
          <w:b/>
          <w:i/>
          <w:lang w:eastAsia="en-US"/>
        </w:rPr>
        <w:t>For New Hampshire Residents:</w:t>
      </w:r>
    </w:p>
    <w:p>
      <w:pPr>
        <w:pStyle w:val="boldbody"/>
        <w:rPr/>
      </w:pPr>
      <w:r>
        <w:rPr/>
        <w:t>Neither the fact that a registration statement or an application for a license has been filed with the State of New Hampshire nor the fact that a security is effectively registered or a person is licensed in the State of New Hampshire constitutes a finding by the Secretary of State of New Hampshire that any document filed under RSA 421-b is true, complete and not misleading. Neither any such fact nor the fact that an exemption or exception is available for a security or a transaction means that the Secretary of State has passed in any way upon the merits or qualifications of, or recommended or given approval to, any person, security, or transaction. It is unlawful to make, or cause to be made, to any prospective purchaser, customer or client, any representation inconsistent with the provisions of this paragraph.</w:t>
      </w:r>
      <w:r>
        <w:br w:type="page"/>
      </w:r>
    </w:p>
    <w:p>
      <w:pPr>
        <w:pStyle w:val="Heading1"/>
        <w:ind w:hanging="0" w:start="0"/>
        <w:rPr/>
      </w:pPr>
      <w:r>
        <w:rPr/>
        <w:t>Notice to Investors</w:t>
      </w:r>
    </w:p>
    <w:p>
      <w:pPr>
        <w:pStyle w:val="BodyText"/>
        <w:rPr>
          <w:lang w:eastAsia="en-US"/>
        </w:rPr>
      </w:pPr>
      <w:r>
        <w:rPr>
          <w:lang w:eastAsia="en-US"/>
        </w:rPr>
        <w:t>Each purchaser of the Certificates offered hereby, by its acceptance thereof, will be deemed to have acknowledged and represented to and agreed with the Trust, Enron and the Initial Purchaser as follows:</w:t>
      </w:r>
    </w:p>
    <w:p>
      <w:pPr>
        <w:pStyle w:val="indent5"/>
        <w:rPr>
          <w:lang w:eastAsia="en-US"/>
        </w:rPr>
      </w:pPr>
      <w:r>
        <w:rPr>
          <w:lang w:eastAsia="en-US"/>
        </w:rPr>
        <w:t>(1) It understands and acknowledges that (a) the Certificates have not been registered under the Securities Act or any other applicable securities law, (b) the Certificates are being offered for resale in transactions not requiring registration under the Securities Act or any other securities laws, including sales pursuant to Rule 144A, and (c) the Certificates may not be offered, sold or otherwise transferred except in compliance with the registration requirements of the Securities Act or any other applicable securities law, pursuant to an exemption therefrom or in a transaction not subject thereto and in each case in compliance with the conditions for transfer set forth in paragraph (4) below.</w:t>
      </w:r>
    </w:p>
    <w:p>
      <w:pPr>
        <w:pStyle w:val="indent5"/>
        <w:rPr>
          <w:lang w:eastAsia="en-US"/>
        </w:rPr>
      </w:pPr>
      <w:r>
        <w:rPr>
          <w:lang w:eastAsia="en-US"/>
        </w:rPr>
        <w:t>(2) It (a) is neither an “affiliate” (as defined in Rule 144 under the Securities Act) of the Trust or Enron nor acting on behalf of the Trust or Enron and (b) is (i) a “Qualified Institutional Buyer” or “QIB” within the meaning of Rule 144A and aware that any resale of the Certificates to it will be made in reliance on Rule 144A and that such acquisition will be for its own account or for the account of another Qualified Institutional Buyer or (ii) an institution that, at the time the buy order for the Certificates was originated, was outside the United States and was not a US person (and was not purchasing for the account or benefit of a US person) within the meaning of Regulation S (a “Regulation S Purchaser”).</w:t>
      </w:r>
    </w:p>
    <w:p>
      <w:pPr>
        <w:pStyle w:val="indent5"/>
        <w:rPr>
          <w:lang w:eastAsia="en-US"/>
        </w:rPr>
      </w:pPr>
      <w:r>
        <w:rPr>
          <w:lang w:eastAsia="en-US"/>
        </w:rPr>
        <w:t>(3) It (a) acknowledges that none of the Trust, the Trustee, Enron, the Swap Counterparty, the Initial Purchaser nor any person representing the Trust, the Trustee, Enron, the Swap Counterparty or the Initial Purchaser has made any representation to it with respect to the Trust, the Trustee, Enron or the Swap Counterparty or the offering or sale of the Certificates, other than the information contained or incorporated by reference in this Offering Circular, which Offering Circular has been delivered to it, (b) acknowledges that no representation or warranty is made by the Initial Purchaser as to the accuracy or completeness of such materials, (c) has had access to such financial and other information as it has deemed necessary in connection with its decision to purchase Certificates, including an opportunity to ask questions of and request information from the Trust, the Trustee, Enron, the Swap Counterparty and the Initial Purchaser, and (d) has received and reviewed all information which it requested.</w:t>
      </w:r>
    </w:p>
    <w:p>
      <w:pPr>
        <w:pStyle w:val="indent5"/>
        <w:rPr>
          <w:lang w:eastAsia="en-US"/>
        </w:rPr>
      </w:pPr>
      <w:r>
        <w:rPr>
          <w:lang w:eastAsia="en-US"/>
        </w:rPr>
        <w:t>(4) It is purchasing Certificates for its own account, or for one or more investor accounts for which it is acting as a fiduciary or agent, in each case for investment, and not with a view to, or for offer or sale in connection with, any distribution thereof in violation of the Securities Act or other applicable securities laws, subject to any requirement of law that the disposition of its property or the property of such investor account or accounts be at all times within its or their control and subject to its or their ability to resell such Certificates pursuant to Rule 144A, or another available exemption from registration under the Securities Act, or Regulation S. It agrees on its own behalf and on behalf of any investor account for which it is purchasing Certificates and each subsequent holder of such Certificates by its acceptance thereof will be deemed to agree, to offer, sell or otherwise transfer such Certificates prior to the date which is two years after the later of the date of the original issue of the Certificates and the last date on which the Trust, Enron or any affiliate of the Trust, Enron was the owner of such Certificates or the expiration of such shorter period as may be prescribed by Rule 144(k), or any successor provision thereof, under the Securities Act (the “Resale Restriction Termination Date”) only (a) to the Trust, (b) pursuant to a registration statement which has been declared effective under the Securities Act, (c) for so long as the Certificates are eligible for resale pursuant to Rule 144A, to a person it reasonably believes is a Qualified Institutional Buyer that purchases for its own account or for the account of a Qualified Institutional Buyer to whom notice is given that the transfer is being made in reliance on Rule 144A, (d) pursuant to offers and sales to Regulation S Purchasers that occur outside the United States within the meaning of Regulation S or (e) pursuant to any other available exemption from the registration requirements of the Securities Act, subject in each of the foregoing cases to any requirement of law that the disposition of its property or the property of such investor account or accounts be at all times within its or their control and to compliance with any other applicable securities laws. The foregoing restrictions on resale will not apply subsequent to the Resale Restriction Termination Date. Each purchaser acknowledges that the Trust, the Trustee and Enron reserve the right prior to any offer, sale or other transfer (i) pursuant to clause (d) or (e) above prior to the Resale Restriction Termination Date to require the delivery of an opinion of counsel, certifications or other information satisfactory to the Trust, Enron and the Trustee and (ii) in each of the foregoing cases, to require that a certificate as to compliance with certain conditions to transfer is completed and delivered by the transferor to the Trust.</w:t>
      </w:r>
    </w:p>
    <w:p>
      <w:pPr>
        <w:pStyle w:val="BodyText"/>
        <w:ind w:start="720" w:end="0"/>
        <w:rPr>
          <w:lang w:eastAsia="en-US"/>
        </w:rPr>
      </w:pPr>
      <w:r>
        <w:rPr>
          <w:lang w:eastAsia="en-US"/>
        </w:rPr>
        <w:t>(5) It acknowledges that each certificate representing a Certificate will contain a legend substantially to the following effect:</w:t>
      </w:r>
    </w:p>
    <w:p>
      <w:pPr>
        <w:pStyle w:val="BodyText"/>
        <w:ind w:start="720" w:end="0"/>
        <w:rPr>
          <w:lang w:eastAsia="en-US"/>
        </w:rPr>
      </w:pPr>
      <w:r>
        <w:rPr>
          <w:lang w:eastAsia="en-US"/>
        </w:rPr>
        <w:t>THIS SECURITY HAS NOT BEEN REGISTERED UNDER THE UNITED STATES SECURITIES ACT OF 1933, AS AMENDED (THE “SECURITIES ACT”), OR ANY STATE SECURITIES LAWS OF THE UNITED STATES. NEITHER THIS SECURITY NOR ANY INTEREST OR PARTICIPATION HEREIN MAY BE REOFFERED, SOLD, ASSIGNED, TRANSFERRED, PLEDGED, ENCUMBERED OR OTHERWISE DISPOSED OF IN THE ABSENCE OF SUCH REGISTRATION OR UNLESS SUCH TRANSACTION IS EXEMPT FROM, OR NOT SUBJECT TO, THE REGISTRATION REQUIREMENTS OF THE SECURITIES ACT AND ANY APPLICABLE STATE SECURITIES LAWS OF THE UNITED STATES. THE HOLDER OF THIS SECURITY BY ITS ACCEPTANCE HEREOF AGREES TO OFFER, SELL OR OTHERWISE TRANSFER SUCH SECURITY, PRIOR TO THE DATE WHICH IS TWO YEARS AFTER THE LATER OF THE ORIGINAL ISSUE DATE HEREOF AND THE LAST DATE ON WHICH ENRON PASS-THROUGH ASSET TRUST 2000-1 (THE “TRUST”) OR ANY AFFILIATE OF THE TRUST WAS THE OWNER OF THIS SECURITY (OR ANY PREDECESSOR OF THIS SECURITY) OR THE EXPIRATION OF SUCH SHORTER PERIOD AS MAY BE PRESCRIBED BY RULE 144(k), OR ANY SUCCESSOR PROVISION THEREOF, UNDER THE SECURITIES ACT (THE “RESALE RESTRICTION TERMINATION DATE”) ONLY (A) TO THE TRUST, (B) PURSUANT TO AN EFFECTIVE REGISTRATION STATEMENT UNDER THE SECURITIES ACT, (C) FOR SO LONG AS THE SECURITIES ARE ELIGIBLE FOR RESALE PURSUANT TO RULE 144A UNDER THE SECURITIES ACT (“RULE 144A”), TO A PERSON IT REASONABLY BELIEVES IS A “QUALIFIED INSTITUTIONAL BUYER” AS DEFINED IN RULE 144A THAT PURCHASES FOR ITS OWN ACCOUNT OR FOR THE ACCOUNT OF A QUALIFIED INSTITUTIONAL BUYER TO WHOM NOTICE IS GIVEN THAT THE TRANSFER IS BEING MADE IN RELIANCE ON RULE 144A, (D) PURSUANT TO OFFERS AND SALES TO NON-US PERSONS THAT OCCUR OUTSIDE THE UNITED STATES WITHIN THE MEANING OF REGULATION S OR (E) PURSUANT TO ANOTHER AVAILABLE EXEMPTION FROM THE REGISTRATION REQUIREMENTS OF THE SECURITIES ACT, SUBJECT TO THE RIGHT OF THE TRUST, ENRON CORP AND THE TRUSTEE PRIOR TO ANY SUCH OFFER, SALE OR TRANSFER (i) PURSUANT TO CLAUSE (D) OR (E) TO REQUIRE THE DELIVERY OF AN OPINION OF COUNSEL, CERTIFICATIONS OR OTHER INFORMATION SATISFACTORY TO EACH OF THEM AND (ii) IN EACH OF THE FOREGOING CASES, TO REQUIRE THAT A CERTIFICATE AS TO COMPLIANCE WITH CERTAIN CONDITIONS TO TRANSFER IS COMPLETED AND DELIVERED BY THE TRANSFEROR TO THE TRUST. THIS LEGEND WILL BE REMOVED UPON THE REQUEST OF A HOLDER AFTER THE RESALE RESTRICTION TERMINATION DATE OR SUCH EARLIER TIME AS DETERMINED BY THE TRUST IN ACCORDANCE WITH APPLICABLE LAW.</w:t>
      </w:r>
    </w:p>
    <w:p>
      <w:pPr>
        <w:pStyle w:val="indent5"/>
        <w:rPr>
          <w:lang w:eastAsia="en-US"/>
        </w:rPr>
      </w:pPr>
      <w:r>
        <w:rPr>
          <w:lang w:eastAsia="en-US"/>
        </w:rPr>
        <w:t>(6) If it is a Regulation S Purchaser or a “distributor,” “dealer” or person “receiving a selling concession, fee or other remuneration” in respect of securities sold, prior to the expiration of the Distribution Compliance Period (as defined below), it acknowledges that until the expiration of the Distribution Compliance Period any offer or sale of the Certificates will not be made by it to a US person or for the account or benefit of a US person within the meaning of Rule 902(k) under the Securities Act, except offers or sales made pursuant to Rule 144A. The “Distribution Compliance Period” means, with respect to the Certificates, the 40-day period following the later of (a) the date on which the Certificates are first offered to persons other than distributors (as defined in Regulation S) in reliance upon Regulation S and (b) the Certificate Issue Date.</w:t>
      </w:r>
    </w:p>
    <w:p>
      <w:pPr>
        <w:pStyle w:val="indent5"/>
        <w:rPr>
          <w:lang w:eastAsia="en-US"/>
        </w:rPr>
      </w:pPr>
      <w:r>
        <w:rPr>
          <w:lang w:eastAsia="en-US"/>
        </w:rPr>
        <w:t xml:space="preserve">(7) It represents that either (a) no part of the assets to be used by it to purchase Certificates constitutes assets of any Plan (as defined herein) or (b) by reason of the application of one or more class exemptions from the prohibited transaction rules of Section 406 of the US Employee Retirement Income Security Act of 1974, as amended (“ERISA”), and Section 4975 of the US Internal Revenue Code of 1986, as amended (the “Code”), its purchase, holding and secondary disposition of Certificates will not constitute, cause or result in the occurrence of a non-exempt prohibited transaction within the meaning of Section 406 of ERISA or Section 4975 of the Code. If it is a Plan, its fiduciaries will be deemed as a result of the purchasing or holding the Certificates to have directed the Trust to invest in the Senior Notes and to have authorized and directed any of the actions taken or that may be taken with respect to the Trust, the Senior Notes and the Certificates by any of the Trust, Enron, the Swap Counterparty, the Callholder or the Trustee as contemplated by the instrumnents relating to the Certificates, the Senior Notes and the Trust. </w:t>
      </w:r>
    </w:p>
    <w:p>
      <w:pPr>
        <w:pStyle w:val="indent5"/>
        <w:rPr>
          <w:lang w:eastAsia="en-US"/>
        </w:rPr>
      </w:pPr>
      <w:r>
        <w:rPr>
          <w:lang w:eastAsia="en-US"/>
        </w:rPr>
        <w:t xml:space="preserve">(8) By its purchase of Certificates, it will be deemed to have directed the Trust (a) to purchase the Senior Notes and (b) to enter into the Currency Swap with the Swap Counterparty and the Call Option with the Callholder. </w:t>
      </w:r>
    </w:p>
    <w:p>
      <w:pPr>
        <w:pStyle w:val="indent5"/>
        <w:rPr/>
      </w:pPr>
      <w:r>
        <w:rPr/>
        <w:t>(9) It acknowledges that the Trust, the Trustee, Enron, the Initial Purchaser and others will rely upon the truth and accuracy of the foregoing acknowledgments, representations, warranties and agreements and agrees that if any of the acknowledgements, representations, warranties and agreements deemed to have been made by its purchase of Certificates are no longer accurate, it will promptly notify the Initial Purchaser. If it is acquiring any Certificates as a fiduciary agent for one or more investor accounts, it represents that it has sole investment discretion with respect to each such investor account and that it has full power to make the foregoing acknowledgments, representations and agreements on behalf of each such investor account.</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indent5"/>
        <w:rPr/>
      </w:pPr>
      <w:r>
        <w:rPr/>
      </w:r>
    </w:p>
    <w:p>
      <w:pPr>
        <w:pStyle w:val="Heading1"/>
        <w:ind w:hanging="0" w:start="0"/>
        <w:rPr/>
      </w:pPr>
      <w:r>
        <w:rPr/>
        <w:t>Summary</w:t>
      </w:r>
    </w:p>
    <w:p>
      <w:pPr>
        <w:pStyle w:val="indentbody"/>
        <w:rPr/>
      </w:pPr>
      <w:r>
        <w:rPr/>
        <w:t>The following summary is qualified in its entirety by, and should be read in conjunction with, the more detailed financial and other information contained elsewhere or incorporated by reference in this Offering Circular.</w:t>
      </w:r>
    </w:p>
    <w:p>
      <w:pPr>
        <w:pStyle w:val="Heading2"/>
        <w:ind w:hanging="0" w:start="0"/>
        <w:jc w:val="center"/>
        <w:rPr/>
      </w:pPr>
      <w:r>
        <w:rPr/>
        <w:t>Enron Corp.</w:t>
      </w:r>
    </w:p>
    <w:p>
      <w:pPr>
        <w:pStyle w:val="Heading3"/>
        <w:ind w:start="0" w:end="0"/>
        <w:rPr>
          <w:b/>
          <w:i w:val="false"/>
          <w:i w:val="false"/>
        </w:rPr>
      </w:pPr>
      <w:r>
        <w:rPr>
          <w:b/>
          <w:i w:val="false"/>
        </w:rPr>
        <w:t>General</w:t>
      </w:r>
    </w:p>
    <w:p>
      <w:pPr>
        <w:pStyle w:val="BodyText"/>
        <w:rPr/>
      </w:pPr>
      <w:r>
        <w:rPr/>
        <w:t>Headquartered in Houston, Texas, Enron provides products and services related to natural gas, electricity and communications to wholesale and retail customers. Enron’s operations are conducted through its subsidiaries and affiliates, which are principally engaged in: (a) the marketing of natural gas, electricity and other commodities and related risk management and finance services worldwide; (b) the development, construction and operation of power plants, pipelines and other energy related assets worldwide; (c) the delivery of high bandwidth communication applications; (d) the transportation of natural gas through pipelines to markets throughout the United States; and (e) the generation and transmission of electricity to markets in the northwestern United States.</w:t>
      </w:r>
    </w:p>
    <w:p>
      <w:pPr>
        <w:pStyle w:val="Heading3"/>
        <w:ind w:start="0" w:end="0"/>
        <w:rPr>
          <w:b/>
          <w:i w:val="false"/>
          <w:i w:val="false"/>
        </w:rPr>
      </w:pPr>
      <w:r>
        <w:rPr>
          <w:b/>
          <w:i w:val="false"/>
        </w:rPr>
        <w:t>Wholesale Energy Operations and Services</w:t>
      </w:r>
    </w:p>
    <w:p>
      <w:pPr>
        <w:pStyle w:val="BodyText"/>
        <w:rPr/>
      </w:pPr>
      <w:r>
        <w:rPr/>
        <w:t>Enron’s wholesale energy operations and services businesses operate in North America, Europe and evolving energy markets in developing countries. These businesses provide integrated energy-related products and services to wholesale customers worldwide. Wholesale energy operations and services can be categorized into two business lines: Commodity Sales and Services; and Assets and Investments.</w:t>
      </w:r>
    </w:p>
    <w:p>
      <w:pPr>
        <w:pStyle w:val="BodyText"/>
        <w:ind w:firstLine="360" w:end="0"/>
        <w:rPr>
          <w:i/>
          <w:i/>
        </w:rPr>
      </w:pPr>
      <w:r>
        <w:rPr>
          <w:i/>
        </w:rPr>
        <w:t>Commodity Sales and Services</w:t>
      </w:r>
    </w:p>
    <w:p>
      <w:pPr>
        <w:pStyle w:val="BodyText"/>
        <w:rPr/>
      </w:pPr>
      <w:r>
        <w:rPr/>
        <w:t>Enron’s commodity sales and services operations include: (a) the purchase, sale, marketing and delivery of natural gas, electricity, liquids and other commodities; (b) the restructuring of existing long-term contracts; and (c) the management of its commodity portfolios. In addition, Enron provides risk management products and services to energy customers that hedge movements in price and location-based price differentials. Enron’s risk management products and services are designed to provide stability to customers in markets impacted by commodity price volatility. Also included in this business is the management of certain operating assets that directly relate to this business, including domestic intrastate pipeline and storage facilities.</w:t>
      </w:r>
    </w:p>
    <w:p>
      <w:pPr>
        <w:pStyle w:val="Heading3"/>
        <w:rPr/>
      </w:pPr>
      <w:r>
        <w:rPr/>
        <w:t xml:space="preserve">Assets and Investments </w:t>
      </w:r>
    </w:p>
    <w:p>
      <w:pPr>
        <w:pStyle w:val="BodyText"/>
        <w:rPr/>
      </w:pPr>
      <w:r>
        <w:rPr/>
        <w:t>In the assets and investments business, Enron manages and operates a large portfolio of assets related to natural gas, electricity and communications and offer financing alternatives to customers. Activities include developing, constructing, operating and managing a large portfolio of energy assets, including power plants and natural gas pipelines. Enron also provides capital to energy and communications customers seeking debt or equity financing.</w:t>
      </w:r>
    </w:p>
    <w:p>
      <w:pPr>
        <w:pStyle w:val="BodyText"/>
        <w:rPr/>
      </w:pPr>
      <w:r>
        <w:rPr/>
        <w:t>Enron Broadband Services provides high quality broadband Internet content and applications. This business includes the Enron Intelligent NetworkTM (“EIN”), Enron’s Broadband Operating System, and bandwidth trading, intermediation and content services. Enabled with a software control layer, the EIN provides a bandwidth-on-demand platform to deliver data, applications and streaming rich media to the desktop. Enron is minimizing capital deployed in the development of the EIN through strategic alliances with industry technology leaders whose presence, customer access, market share and content enables Enron to efficiently enter this new, emerging marketplace. Enron is extending the market making and risk management skills from its energy business to develop the bandwidth intermediation business. Content services include premium broadband content delivery, such as video streaming, high capacity data transport and video conferencing, that utilize the EIN platform.</w:t>
      </w:r>
    </w:p>
    <w:p>
      <w:pPr>
        <w:pStyle w:val="Heading3"/>
        <w:ind w:start="0" w:end="0"/>
        <w:rPr>
          <w:b/>
          <w:i w:val="false"/>
          <w:i w:val="false"/>
        </w:rPr>
      </w:pPr>
      <w:r>
        <w:rPr>
          <w:b/>
          <w:i w:val="false"/>
        </w:rPr>
        <w:t>Retail Energy Services</w:t>
      </w:r>
    </w:p>
    <w:p>
      <w:pPr>
        <w:pStyle w:val="BodyText"/>
        <w:rPr/>
      </w:pPr>
      <w:r>
        <w:rPr/>
        <w:t>Enron Energy Services is a nationwide provider of energy outsource products to United States business customers. This includes sales of natural gas and electricity and energy management services directly to commercial and industrial customers, as well as investments in related businesses. Enron Energy Services provides end-users with a broad range of energy products and services at competitive prices. These products and services include energy tariff and information management, demand-side services and financial services.</w:t>
      </w:r>
    </w:p>
    <w:p>
      <w:pPr>
        <w:pStyle w:val="Heading3"/>
        <w:ind w:start="0" w:end="0"/>
        <w:rPr>
          <w:b/>
          <w:i w:val="false"/>
          <w:i w:val="false"/>
        </w:rPr>
      </w:pPr>
      <w:r>
        <w:rPr>
          <w:b/>
          <w:i w:val="false"/>
        </w:rPr>
        <w:t>Transportation and Distribution</w:t>
      </w:r>
    </w:p>
    <w:p>
      <w:pPr>
        <w:pStyle w:val="BodyText"/>
        <w:rPr/>
      </w:pPr>
      <w:r>
        <w:rPr/>
        <w:t>Enron’s transportation and distribution business is comprised of its North American interstate natural gas transportation systems and its electricity transmission and distribution operations in Oregon.</w:t>
      </w:r>
    </w:p>
    <w:p>
      <w:pPr>
        <w:pStyle w:val="Heading3"/>
        <w:rPr/>
      </w:pPr>
      <w:r>
        <w:rPr/>
        <w:t xml:space="preserve">Interstate Transmission of Natural Gas. </w:t>
      </w:r>
    </w:p>
    <w:p>
      <w:pPr>
        <w:pStyle w:val="BodyText"/>
        <w:rPr/>
      </w:pPr>
      <w:r>
        <w:rPr/>
        <w:t>Included in Enron’s domestic interstate natural gas pipeline operations are Northern Natural Gas Company (“Northern”), Transwestern Pipeline Company (“Transwestern”) and Florida Gas Transmission Company (“Florida Gas”) (indirectly 50% owned by Enron). Northern, Transwestern and Florida Gas are interstate pipelines and are subject to the regulatory jurisdiction of the Federal Energy Regulatory Commission. Each pipeline serves customers in a specific geographical area. Northern serves the upper Midwest, Transwestern serves principally the California market and pipeline interconnects on the east end of the Transwestern system and Florida Gas serves the State of Florida. In addition, Enron holds an interest in Northern Border Partners, L.P., which owns a 70% interest in the Northern Border Pipeline system. One of Enron’s subsidiaries operates the Northern Border Pipeline system, which transports gas from Western Canada to delivery points in the midwestern United States.</w:t>
      </w:r>
    </w:p>
    <w:p>
      <w:pPr>
        <w:pStyle w:val="Heading3"/>
        <w:rPr/>
      </w:pPr>
      <w:r>
        <w:rPr/>
        <w:t xml:space="preserve">Electricity Transmission and Distribution Operations. </w:t>
      </w:r>
    </w:p>
    <w:p>
      <w:pPr>
        <w:pStyle w:val="BodyText"/>
        <w:rPr/>
      </w:pPr>
      <w:r>
        <w:rPr/>
        <w:t>Enron conducts its electric utility operations through its wholly-owned subsidiary, Portland General Electric Company (“Portland General”). Portland General is engaged in the generation, purchase, transmission, distribution and sale of electricity in Oregon. Portland General also sells energy to wholesale customers throughout the western United States. Portland General’s Oregon service area is approximately 3,170 square miles. At December 31, 1999, Portland General served approximately 719,000 customers. On November 8, 1999, Enron announced that it had entered into an agreement to sell Portland General to Sierra Pacific Resources for $2.1 billion, comprised of $2.02 billion in cash and the assumption of an approximately $80 million Portland General merger payment obligation. Sierra Pacific Resources will also assume $1 billion in Portland General debt and preferred stock. The proposed transaction, which is subject to customary regulatory approvals, is expected to close in late 2000.</w:t>
      </w:r>
      <w:r>
        <w:br w:type="page"/>
      </w:r>
    </w:p>
    <w:p>
      <w:pPr>
        <w:pStyle w:val="centerbold"/>
        <w:rPr>
          <w:sz w:val="22"/>
        </w:rPr>
      </w:pPr>
      <w:r>
        <w:rPr>
          <w:sz w:val="22"/>
        </w:rPr>
        <w:t>The Offering</w:t>
      </w:r>
    </w:p>
    <w:p>
      <w:pPr>
        <w:pStyle w:val="BodyText"/>
        <w:rPr>
          <w:lang w:eastAsia="en-US"/>
        </w:rPr>
      </w:pPr>
      <w:r>
        <w:rPr>
          <w:lang w:eastAsia="en-US"/>
        </w:rPr>
        <w:t>The following summary does not purport to be complete and is qualified in its entirety by reference to the detailed information appearing elsewhere herein, including under “Description of the Certificates,” “Description of the Trust Agreement,” “Description of the Senior Notes,” “Description of the Currency Swap” and “Description of the Call Option.” Certain capitalized terms used herein are defined elsewhere in this Offering Circular.</w:t>
      </w:r>
    </w:p>
    <w:p>
      <w:pPr>
        <w:pStyle w:val="boldflush"/>
        <w:numPr>
          <w:ilvl w:val="0"/>
          <w:numId w:val="0"/>
        </w:numPr>
        <w:ind w:hanging="0" w:start="0"/>
        <w:outlineLvl w:val="0"/>
        <w:rPr/>
      </w:pPr>
      <w:r>
        <w:rPr/>
        <w:t>The Certificates</w:t>
      </w:r>
    </w:p>
    <w:p>
      <w:pPr>
        <w:pStyle w:val="defs"/>
        <w:rPr/>
      </w:pPr>
      <w:r>
        <w:rPr/>
        <w:t>Trust</w:t>
        <w:tab/>
        <w:t>Enron Pass-Through Asset Trust 2000-1 (the “Trust”), formed under the law of the State of New York pursuant to the Trust Agreement dated as of June 1, 2000 between The Bank of New York, as trustee (the “Trustee”), and Enron (the “Trust Agreement”). The sole assets of the Trust will consist of (a) the Senior Notes and (b) the rights of the Trust under the Currency Swap and the Call Option (the “Trust Assets”).</w:t>
      </w:r>
    </w:p>
    <w:p>
      <w:pPr>
        <w:pStyle w:val="defs"/>
        <w:rPr/>
      </w:pPr>
      <w:r>
        <w:rPr/>
        <w:t>Certificates</w:t>
        <w:tab/>
        <w:t xml:space="preserve">     % Pass-Through Asset Trust Securities (“PATS</w:t>
      </w:r>
      <w:r>
        <w:rPr>
          <w:sz w:val="16"/>
          <w:vertAlign w:val="superscript"/>
        </w:rPr>
        <w:t>SM</w:t>
      </w:r>
      <w:r>
        <w:rPr/>
        <w:t>”) Due June 15, 2003  (the “Certificates”) will be issued by the Trust pursuant to the Trust Agreement. The Certificates, each of which represents a fractional undivided beneficial interest in the Trust’s assets, will consist of a single class.</w:t>
      </w:r>
    </w:p>
    <w:p>
      <w:pPr>
        <w:pStyle w:val="defs"/>
        <w:rPr/>
      </w:pPr>
      <w:r>
        <w:rPr/>
        <w:t>Certificate Principal Amount</w:t>
        <w:tab/>
        <w:t>$[350,000,000] (the “Certificate Principal Amount”).</w:t>
      </w:r>
    </w:p>
    <w:p>
      <w:pPr>
        <w:pStyle w:val="defs"/>
        <w:rPr/>
      </w:pPr>
      <w:r>
        <w:rPr/>
        <w:t>Distribution Dates</w:t>
        <w:tab/>
        <w:t>June 15 and December 15 of each year, commencing December 15, 2000 (each, a “Distribution Date”).</w:t>
      </w:r>
    </w:p>
    <w:p>
      <w:pPr>
        <w:pStyle w:val="defs"/>
        <w:rPr/>
      </w:pPr>
      <w:r>
        <w:rPr/>
        <w:t>Distribution Amount</w:t>
        <w:tab/>
        <w:t>On each Distribution Date, Holders will be entitled to receive (a) if a Swap Termination Event has not occurred or if a Swap Termination Event has occurred as a result of a Conversion Event, a distribution in US Dollars in an aggregate amount equal to      % per annum of the Certificate Principal Amount (“Dollar Distributions”) or (b) if a Swap Termination Event (other than as a result of a Conversion Event) has occurred, a distribution in £ Sterling in an aggregate amount equal to the interest payable on the Senior Notes on the Interest Payment Date corresponding to such Distribution Date. For a description of the interest rate reset provisions on the Senior Notes, see “Description of the Senior Notes—Interest.”</w:t>
      </w:r>
    </w:p>
    <w:p>
      <w:pPr>
        <w:pStyle w:val="defs"/>
        <w:rPr/>
      </w:pPr>
      <w:r>
        <w:rPr/>
        <w:t>Use of Proceeds</w:t>
        <w:tab/>
        <w:t>All of the proceeds from the offering by the Trust of the Certificates (which will be in US Dollars) will be exchanged by the Trust with the Swap Counterparty for £ Sterling. The Trust will use the £ Sterling, together with the proceeds received by the Trust from the Callholder in consideration for the Call Option (which also will be in £ Sterling), to purchase the Senior Notes. The net proceeds to Enron from the sale of the Senior Notes will be used principally to repay short-term indebtedness and for general corporate purposes. As of March 31, 2000, Enron’s weighted average interest rate on outstanding short-term indebtedness was approximately __%. See “Use of Proceeds.”</w:t>
      </w:r>
    </w:p>
    <w:p>
      <w:pPr>
        <w:pStyle w:val="defs"/>
        <w:rPr/>
      </w:pPr>
      <w:r>
        <w:rPr/>
        <w:t>Conversion Event</w:t>
        <w:tab/>
        <w:t>Upon the occurrence of an Event of Default under the Indenture that causes an acceleration of the Senior Notes (a “Conversion Event”), the Senior Notes will automatically convert to US Dollar-denominated Senior Notes, effective from the date of the Interest Payment Date for the Senior Notes immediately preceding the occurrence of such Conversion Event, with an annual interest rate of        % until the Final Distribution Date. The aggregate principal amount of the Senior Notes in the event of such conversion will be equal to the Certificate Principal Amount. After such Conversion Event, Holders will be entitled to receive US Dollar distributions by the Trust of all payments made in respect of the Senior Notes. See “Description of the Certificates—Collections and Distributions,” “Description of the Currency Swap” and “Description of the Senior Notes.”</w:t>
      </w:r>
    </w:p>
    <w:p>
      <w:pPr>
        <w:pStyle w:val="defs"/>
        <w:rPr/>
      </w:pPr>
      <w:r>
        <w:rPr/>
        <w:t>Final Distribution Date</w:t>
        <w:tab/>
        <w:t>June 15, 2003 (the “Final Distribution Date”).</w:t>
      </w:r>
    </w:p>
    <w:p>
      <w:pPr>
        <w:pStyle w:val="defs"/>
        <w:rPr/>
      </w:pPr>
      <w:r>
        <w:rPr/>
        <w:t>Final Distribution</w:t>
        <w:tab/>
        <w:t>Unless made earlier in the event of an acceleration of the Senior Notes upon an Event of Default under the Indenture, the final distribution on the Certificates (the “Final Distribution”) is expected to be made on the Final Distribution Date in connection with the exercise of the Early Redemption Right or the Call Option, as the case may be. On the Final Distribution Date, all proceeds received by the Trust in £ Sterling as a result of the exercise of the Early Redemption Right or the Call Option, as the case may be, will be required to be paid by the Trust to the Swap Counterparty and the Swap Counterparty will be required to pay to the Trust a US Dollar amount equal to the Certificate Principal Amount. Such amount, together with the Dollar Swap Payment required to be paid by the Swap Counterparty to the Trust on the Final Distribution Date, will then be distributed to the Holders to pay the principal of and interest on the Certificates on the Final Distribution Date.</w:t>
      </w:r>
    </w:p>
    <w:p>
      <w:pPr>
        <w:pStyle w:val="defs"/>
        <w:rPr/>
      </w:pPr>
      <w:r>
        <w:rPr/>
        <w:t>Certificate Issue Date</w:t>
        <w:tab/>
        <w:t>June __, 2000 (the “Certificate Issue Date”).</w:t>
      </w:r>
    </w:p>
    <w:p>
      <w:pPr>
        <w:pStyle w:val="defs"/>
        <w:rPr/>
      </w:pPr>
      <w:r>
        <w:rPr/>
        <w:t>Record Date</w:t>
        <w:tab/>
        <w:t>The day immediately preceding each Distribution Date.</w:t>
      </w:r>
    </w:p>
    <w:p>
      <w:pPr>
        <w:pStyle w:val="defs"/>
        <w:rPr/>
      </w:pPr>
      <w:r>
        <w:rPr/>
        <w:t>Form of the Certificates</w:t>
        <w:tab/>
        <w:t>The Certificates will be available for purchase in minimum denominations of $100,000 and integral multiples of $1,000 in excess thereof. The Certificates initially will be issued by the Trust in definitive, fully registered form and represented by two global certificates (the “Rule 144A Global Certificate” and the “Regulation S Global Certificate” and together the “Global Certificates”), which will be deposited with, or on behalf of, The Depository Trust Company (“DTC”) and initially registered in the name of Cede &amp; Co., as nominee for DTC. Interests in the Global Certificates will be shown on, and transfers thereof will be effected only through, records maintained by DTC and its direct and indirect participants. Except in certain limited circumstances, Certificates in definitive form will not be issued in exchange for beneficial interests in the Global Certificates. See “Description of the Certificates—Book-Entry Issuance.”</w:t>
      </w:r>
    </w:p>
    <w:p>
      <w:pPr>
        <w:pStyle w:val="defs"/>
        <w:rPr/>
      </w:pPr>
      <w:r>
        <w:rPr/>
        <w:t>Transfer Restrictions</w:t>
        <w:tab/>
        <w:t>The Certificates have not been and will not be registered under the Securities Act or any other applicable securities laws. The Certificates may not be offered, sold, resold or otherwise transferred unless such transfer is made (a) to the Trust, (b) pursuant to an effective registration statement under the Securities Act, (c) for so long as the Certificates are eligible for resale pursuant to Rule 144A, to a person the seller reasonably believes is a Qualified Institutional Buyer within the meaning of Rule 144A, (d) pursuant to offers and sales to Regulation S Purchasers that occur outside the United States within the meaning of Regulation S or (e) pursuant to another available exemption from the registration requirements of the Securities Act.  See “Notice to Investors” and “Description of the Certificates—Transfer Restrictions on Certificates.”</w:t>
      </w:r>
    </w:p>
    <w:p>
      <w:pPr>
        <w:pStyle w:val="defs"/>
        <w:rPr/>
      </w:pPr>
      <w:r>
        <w:rPr/>
        <w:t>Trustee</w:t>
        <w:tab/>
        <w:t>The Bank of New York.</w:t>
      </w:r>
    </w:p>
    <w:p>
      <w:pPr>
        <w:pStyle w:val="defs"/>
        <w:rPr/>
      </w:pPr>
      <w:r>
        <w:rPr/>
        <w:t xml:space="preserve">Certain US Income Tax </w:t>
      </w:r>
    </w:p>
    <w:p>
      <w:pPr>
        <w:pStyle w:val="defs"/>
        <w:spacing w:before="0" w:after="0"/>
        <w:rPr/>
      </w:pPr>
      <w:r>
        <w:rPr/>
        <w:t>Considerations</w:t>
        <w:tab/>
        <w:t>In the opinion of US tax counsel to Enron, the Trust will be classified for US federal income tax purposes as a grantor trust and not as an association or a publicly traded partnership taxable as a corporation. In addition, under certain provisions of the US Internal Revenue Code of 1986, as amended (the “Code”), and applicable US Treasury Department regulations concerning integrated economic transactions and original issue discount, the Certificates should be treated as synthetic three-year, fixed-rate, US Dollar-denominated debt instruments issued without original issue discount. See “Certain United States Income Tax Considerations.”</w:t>
      </w:r>
    </w:p>
    <w:p>
      <w:pPr>
        <w:pStyle w:val="defs"/>
        <w:rPr/>
      </w:pPr>
      <w:r>
        <w:rPr/>
        <w:t>ERISA Considerations</w:t>
        <w:tab/>
        <w:t>Each Certificate represents a fractional undivided beneficial interest in the Trust, the sole assets of which are the Trust Assets. Accordingly, the acquisition of a Certificate by an employee benefit plan subject to Title I of the US Employee Retirement Income Security Act of 1974, as amended (“ERISA”), or Section 4975 of the Code may cause the Trust Assets to be treated as assets of such investing plan for purposes of ERISA and the Code. In this regard, any of Enron, the Swap Counterparty, the Trust and the Callholder may be a Party in Interest or Disqualified Person (as defined under Section 3(14) of ERISA and Section 4975(e)(2) of the Code, respectively) with respect to a number of employee benefit plans or retirement arrangements. A fiduciary of any employee benefit plan or other retirement arrangement subject to Title I of ERISA or Section 4975 of the Code must carefully review with its legal and other advisors the restrictions on purchase and purchaser representations set forth under “ERISA Considerations” and “Notice to Investors.”</w:t>
      </w:r>
    </w:p>
    <w:p>
      <w:pPr>
        <w:pStyle w:val="defs"/>
        <w:rPr/>
      </w:pPr>
      <w:r>
        <w:rPr/>
        <w:t>Ratings</w:t>
        <w:tab/>
        <w:t>The Certificates are expected to be assigned ratings of       by Duff and Phelps Credit Rating Company (“DCR”),       by Moody’s Investors Service, Inc. (“Moody’s”) and       by Standard &amp; Poor’s Ratings Services, a division of The McGraw-Hill Companies, Inc. (“S&amp;P”). These ratings will have been obtained with the understanding that DCR, Moody’s and S&amp;P will continue to monitor such ratings and will make future adjustments to the extent warranted. A rating reflects only the views of DCR, Moody’s or S&amp;P, as the case may be, and is not a recommendation to buy, sell or hold the Certificates. There is no assurance that any such rating will be retained for any given period of time or that it will not be revised downward or withdrawn entirely by DCR, Moody’s or S&amp;P, as the case may be, if, in its judgment, circumstances so warrant.</w:t>
      </w:r>
    </w:p>
    <w:p>
      <w:pPr>
        <w:pStyle w:val="defs"/>
        <w:rPr/>
      </w:pPr>
      <w:r>
        <w:rPr/>
        <w:t>Remedies Under Trust Agreement</w:t>
        <w:tab/>
        <w:t>Following the occurrence of an Event of Default under the Indenture or a payment default by the Swap Counterparty under the Currency Swap or upon a Swap Termination Event, the Trust will be required to take or cause to be taken such actions, or exercise or cause to be exercised such remedies, as are permitted under the Senior Notes or the Currency Swap and as Holders holding a majority of the Voting Rights direct in writing. Pursuant to the Trust Agreement, the Trust will distribute to Holders all amounts, property or proceeds received by the Trust in connection with a Trust Termination Event, including as a result of the discharge of all obligations under the Senior Notes following a Conversion Event. See “Description of the Certificates—Collections and Distributions,” “Description of the Trust Agreement—Remedies Under Trust Agreement” and “Description of the Senior Notes—Events of Default.”</w:t>
      </w:r>
    </w:p>
    <w:p>
      <w:pPr>
        <w:pStyle w:val="defs"/>
        <w:rPr/>
      </w:pPr>
      <w:r>
        <w:rPr/>
        <w:t>Currency Swap</w:t>
        <w:tab/>
        <w:t>Pursuant to the Currency Swap, on each Distribution Date, so long as no Swap Termination Event has occurred, the Swap Counterparty will be required to pay to the Trust a US Dollar amount equal to the Dollar Distributions due on the Certificates on such Distribution Date (a “Dollar Swap Payment”). The amount required to be paid by the Trust to the Swap Counterparty under the Currency Swap on such Distribution Date will be equal to the £ Sterling semi-annual interest payment required to be made by Enron on the Senior Notes on the Interest Payment Date corresponding to such Distribution Date (a “Sterling Swap Payment”). In addition, on the Final Distribution Date, in connection with either (a) the exercise by the Trust of the Early Redemption Right or (b) the exercise by the Callholder of the Call Option, the Trust will be required to pay to the Swap Counterparty the £ Sterling received as a result of the exercise of the Early Redemption Right or the Call Option and the Swap Counterparty will be required to pay to the Trust a US Dollar amount equal to the Certificate Principal Amount. See “Description of the Currency Swap.”</w:t>
      </w:r>
    </w:p>
    <w:p>
      <w:pPr>
        <w:pStyle w:val="defs"/>
        <w:rPr/>
      </w:pPr>
      <w:r>
        <w:rPr/>
        <w:t>Swap Termination Event</w:t>
        <w:tab/>
        <w:t>The Currency Swap will terminate on June 15, 2003 (the “Scheduled Termination Date”) unless earlier terminated as a result of (a) the failure for 30 days by the Trust to make a Sterling Swap Payment thereunder, (b) the failure by the Swap Counterparty to make a Dollar Swap Payment thereunder if such failure is not remedied by the third Business Day after notice of such failure is given by the Trust to the Swap Counterparty, (c) the occurrence of a Conversion Event, (d) insolvency, conservatorship or receivership of the Trust or (e) certain other events as described in the Currency Swap (any such termination, a “Swap Termination Event”). Upon a Swap Termination Event, (i) no further scheduled payments will be owed by the Trust or the Swap Counterparty under the Currency Swap and (ii) any unpaid Dollar Swap Payment or Sterling Swap Payment, or other unpaid US Dollar amount or £ Sterling amount payable as a result of the exercise of the Early Redemption Right or the Call Option, owing at the time of such Swap Termination Event will remain owing. Following a Swap Termination Event (other than as a result of a Conversion Event), the Trust will exercise a claim against the Swap Counterparty for any Swap Termination Payment (as defined herein) in a manner consistent with its rights and obligations under the Trust Agreement.</w:t>
      </w:r>
    </w:p>
    <w:p>
      <w:pPr>
        <w:pStyle w:val="defs"/>
        <w:ind w:hanging="0" w:end="0"/>
        <w:rPr/>
      </w:pPr>
      <w:r>
        <w:rPr/>
        <w:t>If a Swap Termination Event occurs (other than as a result of a Conversion Event), Holders will be entitled to receive £ Sterling distributions by the Trust (at an interest rate of      % per annum) of all £ Sterling payments received by the Trust in respect of the Senior Notes. If a Swap Termination Event occurs as result of a Conversion Event, Holders will be entitled to receive US Dollar distributions by the Trust of all US Dollar payments received by the Trust in respect of the Senior Notes. See “Description of the Currency Swap.”</w:t>
      </w:r>
    </w:p>
    <w:p>
      <w:pPr>
        <w:pStyle w:val="defs"/>
        <w:rPr/>
      </w:pPr>
      <w:r>
        <w:rPr/>
        <w:t>Call Option</w:t>
        <w:tab/>
        <w:t>In exchange for consideration paid by the Callholder to the Trust, the Callholder has been granted an option (the “Call Option”) to purchase the Senior Notes from the Trust on the Final Distribution Date for a purchase price payable in £ Sterling equal to 100% of the principal amount of the Senior Notes (the “Call Price”). If the Call Option is exercised, the proceeds of the Call Price received by the Trust will be required to be paid by the Trust to the Swap Counterparty and the Swap Counterparty will be required to pay a US Dollar amount equal to the Certificate Principal Amount on the Final Distribution Date. Such amount, together with the Dollar Swap Payment required to be paid by the Swap Counterparty to the Trust on the Final Distribution Date, will then be distributed to the Certificate-holders to pay the principal of and interest on the Certificates on the Final Distribution Date. Upon the occurrence of a Conversion Event, the Call Option will terminate and neither the Trust nor the Callholder will owe any amounts thereunder. See “Description of the Call Option.”</w:t>
      </w:r>
    </w:p>
    <w:p>
      <w:pPr>
        <w:pStyle w:val="defs"/>
        <w:rPr/>
      </w:pPr>
      <w:r>
        <w:rPr/>
        <w:t xml:space="preserve">Expenses of the Trust </w:t>
        <w:tab/>
        <w:t>Pursuant to the Trust Agreement, Enron will agree to pay to each person or entity to whom the Trust becomes indebted or liable the full amount, when and as due, of any indebtedness, expenses or liabilities of the Trust, other than under the Certificates, the Currency Swap or the Call Option. See “Description of the Trust Agreement—Expenses of the Trust.”</w:t>
      </w:r>
    </w:p>
    <w:p>
      <w:pPr>
        <w:pStyle w:val="defs"/>
        <w:rPr/>
      </w:pPr>
      <w:r>
        <w:rPr/>
        <w:t>Governing Law</w:t>
        <w:tab/>
        <w:t>The Trust Agreement, the Currency Swap, the Call Option and the Certificates will be governed by, and construed in accordance with, the law of the State of New York.</w:t>
      </w:r>
    </w:p>
    <w:p>
      <w:pPr>
        <w:pStyle w:val="boldflush"/>
        <w:numPr>
          <w:ilvl w:val="0"/>
          <w:numId w:val="0"/>
        </w:numPr>
        <w:ind w:hanging="0" w:start="0"/>
        <w:outlineLvl w:val="0"/>
        <w:rPr/>
      </w:pPr>
      <w:r>
        <w:rPr/>
        <w:t>The Senior Notes</w:t>
      </w:r>
    </w:p>
    <w:p>
      <w:pPr>
        <w:pStyle w:val="defs"/>
        <w:rPr/>
      </w:pPr>
      <w:r>
        <w:rPr/>
        <w:t>Indenture</w:t>
        <w:tab/>
        <w:t>Enron will issue the Senior Notes pursuant to an Indenture dated as of November 1, 1985, as supplemented by an indenture supplemental thereto (collectively, the “Indenture”), between Enron and The Bank of New York (successor to Harris Trust and Savings Bank), as trustee (the “Indenture Trustee”).</w:t>
      </w:r>
    </w:p>
    <w:p>
      <w:pPr>
        <w:pStyle w:val="defs"/>
        <w:rPr/>
      </w:pPr>
      <w:r>
        <w:rPr/>
        <w:t xml:space="preserve">Senior Notes </w:t>
        <w:tab/>
        <w:t>£                principal amount of Reset Senior Notes Due June 15, 2028 (the “Senior Notes”) will be issued by Enron. The Trust will purchase the Senior Notes with the £ Sterling received by the Trust from (a) the Swap Counterparty in exchange for the US Dollar proceeds from the offering of the Certificates and (b) the Callholder in consideration for the Call Option.</w:t>
      </w:r>
    </w:p>
    <w:p>
      <w:pPr>
        <w:pStyle w:val="defs"/>
        <w:rPr/>
      </w:pPr>
      <w:r>
        <w:rPr/>
        <w:t>Ranking and Holding</w:t>
      </w:r>
    </w:p>
    <w:p>
      <w:pPr>
        <w:pStyle w:val="defs"/>
        <w:spacing w:before="0" w:after="0"/>
        <w:rPr>
          <w:b/>
        </w:rPr>
      </w:pPr>
      <w:r>
        <w:rPr/>
        <w:t>Company Structure</w:t>
        <w:tab/>
        <w:t>The Senior Notes will be direct, unsecured and unsubordinated obligations of Enron ranking pari passu with all other direct, unsecured and unsubordinated obligations of Enron (other than those obligations preferred by operation of law). Because Enron is a holding company, Enron’s obligations under the Senior Notes will effectively be subordinated to all existing and future indebtedness and liabilities of the direct and indirect subsidiaries of Enron. The Indenture contains no restrictions on the amount of additional indebtedness that may be incurred by Enron and its subsidiaries; however, the Indenture contains restrictions that may limit the ability of Enron and its wholly-owned subsidiaries to secure such indebtedness. See “Description of the Senior Notes—Covenants—Limitation on Mortgages and Liens.”</w:t>
      </w:r>
    </w:p>
    <w:p>
      <w:pPr>
        <w:pStyle w:val="defs"/>
        <w:rPr/>
      </w:pPr>
      <w:r>
        <w:rPr/>
        <w:t>Denomination</w:t>
        <w:tab/>
        <w:t>The Senior Notes will be denominated and payable in £ Sterling from the Senior Note Issue Date unless a Conversion Event occurs, in which case the denomination of and currency of payment of the Senior Notes will automatically convert to US Dollars. See “Description of the Senior Notes—Principal Amount and Denomination.”</w:t>
      </w:r>
    </w:p>
    <w:p>
      <w:pPr>
        <w:pStyle w:val="defs"/>
        <w:rPr/>
      </w:pPr>
      <w:r>
        <w:rPr/>
        <w:t>Interest</w:t>
        <w:tab/>
        <w:t xml:space="preserve">The Senior Notes will bear interest at      % per annum through the Final Distribution Date (calculated on the basis of a 360-day year, consisting of twelve 30-day months); </w:t>
      </w:r>
      <w:r>
        <w:rPr>
          <w:i/>
        </w:rPr>
        <w:t>provided, howeve</w:t>
      </w:r>
      <w:r>
        <w:rPr/>
        <w:t>r, that, upon the occurrence of a Conversion Event, the Senior Notes will automatically convert to US Dollar-denominated obligations in an aggregate principal amount equal to the Certificate Principal Amount with an annual interest rate of</w:t>
      </w:r>
    </w:p>
    <w:p>
      <w:pPr>
        <w:pStyle w:val="defs"/>
        <w:spacing w:before="0" w:after="0"/>
        <w:ind w:hanging="0" w:end="0"/>
        <w:rPr/>
      </w:pPr>
      <w:r>
        <w:rPr/>
        <w:t xml:space="preserve">      </w:t>
      </w:r>
      <w:r>
        <w:rPr/>
        <w:t>%, effective from the date of the Interest Payment Date immediately preceding the occurrence of such Conversion Event. See “Description of the Senior Notes—Interest.”</w:t>
      </w:r>
    </w:p>
    <w:p>
      <w:pPr>
        <w:pStyle w:val="defs"/>
        <w:rPr/>
      </w:pPr>
      <w:r>
        <w:rPr/>
        <w:t>Interest Payment Dates</w:t>
        <w:tab/>
        <w:t xml:space="preserve">Interest on the Senior Notes through the Final Distribution Date will be payable semi-annually on June 15 and December 15 of each year, commencing December 15, 2000 (each, an “Interest Payment Date”); </w:t>
      </w:r>
      <w:r>
        <w:rPr>
          <w:i/>
        </w:rPr>
        <w:t>provided, however,</w:t>
      </w:r>
      <w:r>
        <w:rPr/>
        <w:t xml:space="preserve"> that if any such Interest Payment Date is not a Business Day, then the payment of such interest will be made on the next succeeding Business Day and no additional interest or other payment will be made in respect of such delay.</w:t>
      </w:r>
    </w:p>
    <w:p>
      <w:pPr>
        <w:pStyle w:val="defs"/>
        <w:rPr/>
      </w:pPr>
      <w:r>
        <w:rPr/>
        <w:t>Early Redemption Right</w:t>
        <w:tab/>
        <w:t>If the Callholder has not given the Trust notice on or before May</w:t>
      </w:r>
    </w:p>
    <w:p>
      <w:pPr>
        <w:pStyle w:val="defs"/>
        <w:spacing w:before="0" w:after="0"/>
        <w:ind w:hanging="0" w:end="0"/>
        <w:rPr/>
      </w:pPr>
      <w:r>
        <w:rPr/>
        <w:t xml:space="preserve">     </w:t>
      </w:r>
      <w:r>
        <w:rPr/>
        <w:t>, 2003 that it intends to exercise the Call Option or if the Callholder fails to make payment of the Call Price prior to the Final Distribution Date, the Trust will have the right to require Enron to redeem all but not less than all of the Senior Notes (the “Early Redemption Right”) at a redemption price payable in £ Sterling equal to 100% of the principal amount thereof on the Final Distribution Date. Pursuant to the Trust Agreement, the Trust will be required to exercise the Early Redemption Right in such event. If the Early Redemption Right is exercised, all proceeds received by the Trust in £ Sterling upon such exercise will be required to be paid by the Trust to the Swap Counterparty and the Swap Counterparty will be required to pay to the Trust a US Dollar amount equal to the Certificate Principal Amount on the Final Distribution Date. Such amount, together with the Dollar Swap Payment required to be paid by the Swap Counterparty to the Trust on the Final Distribution Date, will then be distributed to the Holders to pay the principal of and interest on the Certificates on the Final Distribution Date. See “Description of the Senior Notes—Early Redemption Right.”</w:t>
      </w:r>
    </w:p>
    <w:p>
      <w:pPr>
        <w:pStyle w:val="defs"/>
        <w:rPr/>
      </w:pPr>
      <w:r>
        <w:rPr/>
        <w:t>Senior Note Issue Date</w:t>
        <w:tab/>
        <w:t>June   , 2000 (the “Senior Note Issue Date”).</w:t>
      </w:r>
    </w:p>
    <w:p>
      <w:pPr>
        <w:pStyle w:val="defs"/>
        <w:rPr/>
      </w:pPr>
      <w:r>
        <w:rPr/>
        <w:t>Indenture Trustee</w:t>
        <w:tab/>
        <w:t>The Bank of New York.</w:t>
      </w:r>
    </w:p>
    <w:p>
      <w:pPr>
        <w:pStyle w:val="defs"/>
        <w:rPr/>
      </w:pPr>
      <w:r>
        <w:rPr/>
        <w:t>Governing Law</w:t>
        <w:tab/>
        <w:t>The Senior Notes will be governed by, and construed in accordance with, the law of the State of New York, and the Indenture will be governed by, and construed in accordance with, the law of the State of Texas.</w:t>
      </w:r>
      <w:r>
        <w:br w:type="page"/>
      </w:r>
    </w:p>
    <w:p>
      <w:pPr>
        <w:pStyle w:val="BodyText"/>
        <w:spacing w:before="240" w:after="240"/>
        <w:rPr>
          <w:lang w:eastAsia="en-US"/>
        </w:rPr>
      </w:pPr>
      <w:r>
        <w:rPr>
          <w:lang w:eastAsia="en-US"/>
        </w:rPr>
        <w:t>The following organization chart illustrates the entities involved in the issuance of the Certificates.</w:t>
      </w:r>
    </w:p>
    <w:tbl>
      <w:tblPr>
        <w:tblW w:w="8658" w:type="dxa"/>
        <w:jc w:val="start"/>
        <w:tblInd w:w="0" w:type="dxa"/>
        <w:tblLayout w:type="fixed"/>
        <w:tblCellMar>
          <w:top w:w="0" w:type="dxa"/>
          <w:start w:w="108" w:type="dxa"/>
          <w:bottom w:w="0" w:type="dxa"/>
          <w:end w:w="108" w:type="dxa"/>
        </w:tblCellMar>
      </w:tblPr>
      <w:tblGrid>
        <w:gridCol w:w="1530"/>
        <w:gridCol w:w="630"/>
        <w:gridCol w:w="1080"/>
        <w:gridCol w:w="360"/>
        <w:gridCol w:w="1368"/>
        <w:gridCol w:w="72"/>
        <w:gridCol w:w="360"/>
        <w:gridCol w:w="1278"/>
        <w:gridCol w:w="1980"/>
      </w:tblGrid>
      <w:tr>
        <w:trPr>
          <w:trHeight w:val="480" w:hRule="atLeast"/>
        </w:trPr>
        <w:tc>
          <w:tcPr>
            <w:tcW w:w="1530" w:type="dxa"/>
            <w:tcBorders/>
          </w:tcPr>
          <w:p>
            <w:pPr>
              <w:pStyle w:val="BodyText"/>
              <w:snapToGrid w:val="false"/>
              <w:spacing w:before="0" w:after="0"/>
              <w:ind w:hanging="0" w:end="0"/>
              <w:rPr>
                <w:lang w:val="en-CA" w:eastAsia="en-US"/>
              </w:rPr>
            </w:pPr>
            <w:r>
              <w:rPr>
                <w:lang w:val="en-CA" w:eastAsia="en-US"/>
              </w:rPr>
            </w:r>
            <w:r>
              <mc:AlternateContent>
                <mc:Choice Requires="wps">
                  <w:drawing>
                    <wp:anchor behindDoc="0" distT="0" distB="0" distL="114935" distR="114935" simplePos="0" locked="0" layoutInCell="0" allowOverlap="1" relativeHeight="6">
                      <wp:simplePos x="0" y="0"/>
                      <wp:positionH relativeFrom="margin">
                        <wp:posOffset>2934970</wp:posOffset>
                      </wp:positionH>
                      <wp:positionV relativeFrom="page">
                        <wp:posOffset>1786890</wp:posOffset>
                      </wp:positionV>
                      <wp:extent cx="365760" cy="274320"/>
                      <wp:effectExtent l="0" t="0" r="0" b="0"/>
                      <wp:wrapNone/>
                      <wp:docPr id="4" name="Frame1"/>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1"/>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140.7pt;mso-position-vertical-relative:page;margin-left:231.1pt;mso-position-horizontal-relative:margin">
                      <v:fill opacity="0f"/>
                      <v:textbox inset="0.100694444444444in,0.0506944444444444in,0.100694444444444in,0.0506944444444444in">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1"/>
                            </w:r>
                          </w:p>
                        </w:txbxContent>
                      </v:textbox>
                      <w10:wrap type="none"/>
                    </v:rect>
                  </w:pict>
                </mc:Fallback>
              </mc:AlternateContent>
            </w:r>
          </w:p>
        </w:tc>
        <w:tc>
          <w:tcPr>
            <w:tcW w:w="1710" w:type="dxa"/>
            <w:gridSpan w:val="2"/>
            <w:tcBorders/>
          </w:tcPr>
          <w:p>
            <w:pPr>
              <w:pStyle w:val="BodyText"/>
              <w:snapToGrid w:val="false"/>
              <w:spacing w:before="0" w:after="0"/>
              <w:ind w:hanging="0" w:end="0"/>
              <w:rPr>
                <w:lang w:eastAsia="en-US"/>
              </w:rPr>
            </w:pPr>
            <w:r>
              <w:rPr>
                <w:lang w:eastAsia="en-US"/>
              </w:rPr>
            </w:r>
          </w:p>
        </w:tc>
        <w:tc>
          <w:tcPr>
            <w:tcW w:w="2160" w:type="dxa"/>
            <w:gridSpan w:val="4"/>
            <w:tcBorders>
              <w:top w:val="single" w:sz="4" w:space="0" w:color="000000"/>
              <w:start w:val="single" w:sz="4" w:space="0" w:color="000000"/>
              <w:bottom w:val="single" w:sz="4" w:space="0" w:color="000000"/>
              <w:end w:val="single" w:sz="4" w:space="0" w:color="000000"/>
            </w:tcBorders>
            <w:vAlign w:val="center"/>
          </w:tcPr>
          <w:p>
            <w:pPr>
              <w:pStyle w:val="BodyText"/>
              <w:spacing w:before="0" w:after="0"/>
              <w:ind w:hanging="0" w:end="0"/>
              <w:jc w:val="center"/>
              <w:rPr>
                <w:lang w:eastAsia="en-US"/>
              </w:rPr>
            </w:pPr>
            <w:r>
              <w:rPr>
                <w:lang w:eastAsia="en-US"/>
              </w:rPr>
              <w:t>Callholder</w:t>
            </w:r>
          </w:p>
        </w:tc>
        <w:tc>
          <w:tcPr>
            <w:tcW w:w="1278" w:type="dxa"/>
            <w:tcBorders/>
          </w:tcPr>
          <w:p>
            <w:pPr>
              <w:pStyle w:val="BodyText"/>
              <w:snapToGrid w:val="false"/>
              <w:spacing w:before="0" w:after="0"/>
              <w:ind w:hanging="0" w:end="0"/>
              <w:rPr>
                <w:lang w:eastAsia="en-US"/>
              </w:rPr>
            </w:pPr>
            <w:r>
              <w:rPr>
                <w:lang w:eastAsia="en-US"/>
              </w:rPr>
            </w:r>
          </w:p>
        </w:tc>
        <w:tc>
          <w:tcPr>
            <w:tcW w:w="1980" w:type="dxa"/>
            <w:tcBorders/>
            <w:tcMar>
              <w:start w:w="0" w:type="dxa"/>
              <w:end w:w="0" w:type="dxa"/>
            </w:tcMar>
          </w:tcPr>
          <w:p>
            <w:pPr>
              <w:pStyle w:val="Normal"/>
              <w:snapToGrid w:val="false"/>
              <w:rPr>
                <w:lang w:eastAsia="en-US"/>
              </w:rPr>
            </w:pPr>
            <w:r>
              <w:rPr>
                <w:lang w:eastAsia="en-US"/>
              </w:rPr>
            </w:r>
          </w:p>
        </w:tc>
      </w:tr>
      <w:tr>
        <w:trPr/>
        <w:tc>
          <w:tcPr>
            <w:tcW w:w="2160" w:type="dxa"/>
            <w:gridSpan w:val="2"/>
            <w:tcBorders/>
          </w:tcPr>
          <w:p>
            <w:pPr>
              <w:pStyle w:val="BodyText"/>
              <w:snapToGrid w:val="false"/>
              <w:spacing w:before="0" w:after="0"/>
              <w:ind w:hanging="0" w:end="0"/>
              <w:rPr>
                <w:lang w:val="en-CA" w:eastAsia="en-US"/>
              </w:rPr>
            </w:pPr>
            <w:r>
              <w:rPr>
                <w:lang w:val="en-CA" w:eastAsia="en-US"/>
              </w:rPr>
            </w:r>
            <w:r>
              <mc:AlternateContent>
                <mc:Choice Requires="wps">
                  <w:drawing>
                    <wp:anchor behindDoc="0" distT="0" distB="0" distL="114935" distR="114935" simplePos="0" locked="0" layoutInCell="0" allowOverlap="1" relativeHeight="5">
                      <wp:simplePos x="0" y="0"/>
                      <wp:positionH relativeFrom="margin">
                        <wp:posOffset>2070735</wp:posOffset>
                      </wp:positionH>
                      <wp:positionV relativeFrom="page">
                        <wp:posOffset>2322830</wp:posOffset>
                      </wp:positionV>
                      <wp:extent cx="365760" cy="274320"/>
                      <wp:effectExtent l="0" t="0" r="0" b="0"/>
                      <wp:wrapNone/>
                      <wp:docPr id="5" name="Frame2"/>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2"/>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182.9pt;mso-position-vertical-relative:page;margin-left:163.05pt;mso-position-horizontal-relative:margin">
                      <v:fill opacity="0f"/>
                      <v:textbox inset="0.100694444444444in,0.0506944444444444in,0.100694444444444in,0.0506944444444444in">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2"/>
                            </w:r>
                          </w:p>
                        </w:txbxContent>
                      </v:textbox>
                      <w10:wrap type="none"/>
                    </v:rect>
                  </w:pict>
                </mc:Fallback>
              </mc:AlternateContent>
            </w:r>
          </w:p>
        </w:tc>
        <w:tc>
          <w:tcPr>
            <w:tcW w:w="1080" w:type="dxa"/>
            <w:tcBorders/>
          </w:tcPr>
          <w:p>
            <w:pPr>
              <w:pStyle w:val="BodyText"/>
              <w:spacing w:before="120" w:after="120"/>
              <w:ind w:hanging="0" w:end="0"/>
              <w:jc w:val="center"/>
              <w:rPr>
                <w:lang w:eastAsia="en-US"/>
              </w:rPr>
            </w:pPr>
            <w:r>
              <w:rPr>
                <w:lang w:eastAsia="en-US"/>
              </w:rPr>
              <w:t xml:space="preserve"> </w:t>
            </w:r>
            <w:r>
              <w:rPr>
                <w:lang w:eastAsia="en-US"/>
              </w:rPr>
              <w:t>Call</w:t>
              <w:br/>
              <w:t xml:space="preserve"> Option</w:t>
              <w:br/>
              <w:t xml:space="preserve"> Payment</w:t>
            </w:r>
          </w:p>
        </w:tc>
        <w:tc>
          <w:tcPr>
            <w:tcW w:w="360" w:type="dxa"/>
            <w:tcBorders/>
          </w:tcPr>
          <w:p>
            <w:pPr>
              <w:pStyle w:val="BodyText"/>
              <w:snapToGrid w:val="false"/>
              <w:spacing w:before="120" w:after="120"/>
              <w:ind w:hanging="0" w:end="0"/>
              <w:rPr>
                <w:lang w:eastAsia="en-US"/>
              </w:rPr>
            </w:pPr>
            <w:r>
              <w:rPr>
                <w:lang w:eastAsia="en-US"/>
              </w:rPr>
            </w:r>
          </w:p>
        </w:tc>
        <w:tc>
          <w:tcPr>
            <w:tcW w:w="1368" w:type="dxa"/>
            <w:tcBorders>
              <w:start w:val="dashed" w:sz="4" w:space="0" w:color="000000"/>
              <w:end w:val="dashed" w:sz="4" w:space="0" w:color="000000"/>
            </w:tcBorders>
          </w:tcPr>
          <w:p>
            <w:pPr>
              <w:pStyle w:val="BodyText"/>
              <w:snapToGrid w:val="false"/>
              <w:spacing w:before="120" w:after="120"/>
              <w:ind w:hanging="0" w:end="0"/>
              <w:rPr>
                <w:lang w:eastAsia="en-US"/>
              </w:rPr>
            </w:pPr>
            <w:r>
              <w:rPr>
                <w:lang w:eastAsia="en-US"/>
              </w:rPr>
            </w:r>
          </w:p>
        </w:tc>
        <w:tc>
          <w:tcPr>
            <w:tcW w:w="432" w:type="dxa"/>
            <w:gridSpan w:val="2"/>
            <w:tcBorders/>
          </w:tcPr>
          <w:p>
            <w:pPr>
              <w:pStyle w:val="BodyText"/>
              <w:snapToGrid w:val="false"/>
              <w:spacing w:before="120" w:after="120"/>
              <w:ind w:hanging="0" w:end="0"/>
              <w:rPr>
                <w:lang w:eastAsia="en-US"/>
              </w:rPr>
            </w:pPr>
            <w:r>
              <w:rPr>
                <w:lang w:eastAsia="en-US"/>
              </w:rPr>
            </w:r>
          </w:p>
        </w:tc>
        <w:tc>
          <w:tcPr>
            <w:tcW w:w="1278" w:type="dxa"/>
            <w:tcBorders/>
            <w:vAlign w:val="center"/>
          </w:tcPr>
          <w:p>
            <w:pPr>
              <w:pStyle w:val="BodyText"/>
              <w:spacing w:before="120" w:after="120"/>
              <w:ind w:hanging="0" w:end="0"/>
              <w:rPr>
                <w:lang w:eastAsia="en-US"/>
              </w:rPr>
            </w:pPr>
            <w:r>
              <w:rPr>
                <w:lang w:eastAsia="en-US"/>
              </w:rPr>
              <w:t>Call Option</w:t>
            </w:r>
          </w:p>
        </w:tc>
        <w:tc>
          <w:tcPr>
            <w:tcW w:w="1980" w:type="dxa"/>
            <w:tcBorders/>
            <w:tcMar>
              <w:start w:w="0" w:type="dxa"/>
              <w:end w:w="0" w:type="dxa"/>
            </w:tcMar>
          </w:tcPr>
          <w:p>
            <w:pPr>
              <w:pStyle w:val="Normal"/>
              <w:snapToGrid w:val="false"/>
              <w:rPr>
                <w:lang w:eastAsia="en-US"/>
              </w:rPr>
            </w:pPr>
            <w:r>
              <w:rPr>
                <w:lang w:eastAsia="en-US"/>
              </w:rPr>
            </w:r>
          </w:p>
        </w:tc>
      </w:tr>
      <w:tr>
        <w:trPr>
          <w:trHeight w:val="503" w:hRule="atLeast"/>
        </w:trPr>
        <w:tc>
          <w:tcPr>
            <w:tcW w:w="2160" w:type="dxa"/>
            <w:gridSpan w:val="2"/>
            <w:vMerge w:val="restart"/>
            <w:tcBorders>
              <w:top w:val="single" w:sz="4" w:space="0" w:color="000000"/>
              <w:start w:val="single" w:sz="4" w:space="0" w:color="000000"/>
            </w:tcBorders>
            <w:vAlign w:val="center"/>
          </w:tcPr>
          <w:p>
            <w:pPr>
              <w:pStyle w:val="BodyText"/>
              <w:spacing w:before="0" w:after="0"/>
              <w:ind w:hanging="0" w:end="0"/>
              <w:jc w:val="center"/>
              <w:rPr>
                <w:lang w:eastAsia="en-US"/>
              </w:rPr>
            </w:pPr>
            <w:r>
              <w:rPr>
                <w:lang w:eastAsia="en-US"/>
              </w:rPr>
              <w:t>Enron</w:t>
            </w:r>
            <w:r>
              <mc:AlternateContent>
                <mc:Choice Requires="wps">
                  <w:drawing>
                    <wp:anchor behindDoc="0" distT="0" distB="0" distL="114935" distR="114935" simplePos="0" locked="0" layoutInCell="0" allowOverlap="1" relativeHeight="8">
                      <wp:simplePos x="0" y="0"/>
                      <wp:positionH relativeFrom="margin">
                        <wp:posOffset>2980690</wp:posOffset>
                      </wp:positionH>
                      <wp:positionV relativeFrom="page">
                        <wp:posOffset>3079750</wp:posOffset>
                      </wp:positionV>
                      <wp:extent cx="365760" cy="274320"/>
                      <wp:effectExtent l="0" t="0" r="0" b="0"/>
                      <wp:wrapNone/>
                      <wp:docPr id="6" name="Frame5"/>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1"/>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242.5pt;mso-position-vertical-relative:page;margin-left:234.7pt;mso-position-horizontal-relative:margin">
                      <v:fill opacity="0f"/>
                      <v:textbox inset="0.100694444444444in,0.0506944444444444in,0.100694444444444in,0.0506944444444444in">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1"/>
                            </w:r>
                          </w:p>
                        </w:txbxContent>
                      </v:textbox>
                      <w10:wrap type="none"/>
                    </v:rect>
                  </w:pict>
                </mc:Fallback>
              </mc:AlternateContent>
            </w:r>
            <w:r>
              <mc:AlternateContent>
                <mc:Choice Requires="wps">
                  <w:drawing>
                    <wp:anchor behindDoc="0" distT="0" distB="0" distL="114935" distR="114935" simplePos="0" locked="0" layoutInCell="0" allowOverlap="1" relativeHeight="9">
                      <wp:simplePos x="0" y="0"/>
                      <wp:positionH relativeFrom="margin">
                        <wp:posOffset>3966210</wp:posOffset>
                      </wp:positionH>
                      <wp:positionV relativeFrom="page">
                        <wp:posOffset>2704465</wp:posOffset>
                      </wp:positionV>
                      <wp:extent cx="365760" cy="274320"/>
                      <wp:effectExtent l="0" t="0" r="0" b="0"/>
                      <wp:wrapNone/>
                      <wp:docPr id="7" name="Frame4"/>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0"/>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212.95pt;mso-position-vertical-relative:page;margin-left:312.3pt;mso-position-horizontal-relative:margin">
                      <v:fill opacity="0f"/>
                      <v:textbox inset="0.100694444444444in,0.0506944444444444in,0.100694444444444in,0.0506944444444444in">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0"/>
                            </w:r>
                          </w:p>
                        </w:txbxContent>
                      </v:textbox>
                      <w10:wrap type="none"/>
                    </v:rect>
                  </w:pict>
                </mc:Fallback>
              </mc:AlternateContent>
            </w:r>
            <w:r>
              <mc:AlternateContent>
                <mc:Choice Requires="wps">
                  <w:drawing>
                    <wp:anchor behindDoc="0" distT="0" distB="0" distL="114935" distR="114935" simplePos="0" locked="0" layoutInCell="0" allowOverlap="1" relativeHeight="10">
                      <wp:simplePos x="0" y="0"/>
                      <wp:positionH relativeFrom="margin">
                        <wp:posOffset>1783080</wp:posOffset>
                      </wp:positionH>
                      <wp:positionV relativeFrom="page">
                        <wp:posOffset>2704465</wp:posOffset>
                      </wp:positionV>
                      <wp:extent cx="365760" cy="274320"/>
                      <wp:effectExtent l="0" t="0" r="0" b="0"/>
                      <wp:wrapNone/>
                      <wp:docPr id="8" name="Frame3"/>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0"/>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212.95pt;mso-position-vertical-relative:page;margin-left:140.4pt;mso-position-horizontal-relative:margin">
                      <v:fill opacity="0f"/>
                      <v:textbox inset="0.100694444444444in,0.0506944444444444in,0.100694444444444in,0.0506944444444444in">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0"/>
                            </w:r>
                          </w:p>
                        </w:txbxContent>
                      </v:textbox>
                      <w10:wrap type="none"/>
                    </v:rect>
                  </w:pict>
                </mc:Fallback>
              </mc:AlternateContent>
            </w:r>
          </w:p>
        </w:tc>
        <w:tc>
          <w:tcPr>
            <w:tcW w:w="1080" w:type="dxa"/>
            <w:tcBorders>
              <w:start w:val="single" w:sz="4" w:space="0" w:color="000000"/>
              <w:bottom w:val="dashed" w:sz="4" w:space="0" w:color="000000"/>
              <w:end w:val="single" w:sz="4" w:space="0" w:color="000000"/>
            </w:tcBorders>
          </w:tcPr>
          <w:p>
            <w:pPr>
              <w:pStyle w:val="BodyText"/>
              <w:spacing w:before="0" w:after="0"/>
              <w:ind w:hanging="0" w:end="0"/>
              <w:jc w:val="center"/>
              <w:rPr>
                <w:lang w:eastAsia="en-US"/>
              </w:rPr>
            </w:pPr>
            <w:r>
              <w:rPr>
                <w:lang w:eastAsia="en-US"/>
              </w:rPr>
              <w:t xml:space="preserve">Senior </w:t>
              <w:br/>
              <w:t>Notes</w:t>
            </w:r>
          </w:p>
        </w:tc>
        <w:tc>
          <w:tcPr>
            <w:tcW w:w="2160" w:type="dxa"/>
            <w:gridSpan w:val="4"/>
            <w:vMerge w:val="restart"/>
            <w:tcBorders>
              <w:top w:val="single" w:sz="4" w:space="0" w:color="000000"/>
              <w:end w:val="single" w:sz="4" w:space="0" w:color="000000"/>
            </w:tcBorders>
            <w:vAlign w:val="center"/>
          </w:tcPr>
          <w:p>
            <w:pPr>
              <w:pStyle w:val="BodyText"/>
              <w:spacing w:before="0" w:after="0"/>
              <w:ind w:hanging="0" w:end="0"/>
              <w:jc w:val="center"/>
              <w:rPr>
                <w:lang w:eastAsia="en-US"/>
              </w:rPr>
            </w:pPr>
            <w:r>
              <w:rPr>
                <w:lang w:eastAsia="en-US"/>
              </w:rPr>
              <w:t>Enron Pass-Through Asset Trust 2000-1</w:t>
            </w:r>
          </w:p>
        </w:tc>
        <w:tc>
          <w:tcPr>
            <w:tcW w:w="1278" w:type="dxa"/>
            <w:tcBorders>
              <w:bottom w:val="dashed" w:sz="4" w:space="0" w:color="000000"/>
            </w:tcBorders>
          </w:tcPr>
          <w:p>
            <w:pPr>
              <w:pStyle w:val="BodyText"/>
              <w:spacing w:before="0" w:after="0"/>
              <w:ind w:hanging="0" w:end="0"/>
              <w:jc w:val="center"/>
              <w:rPr>
                <w:lang w:eastAsia="en-US"/>
              </w:rPr>
            </w:pPr>
            <w:r>
              <w:rPr>
                <w:lang w:eastAsia="en-US"/>
              </w:rPr>
              <w:br/>
              <w:t>Certificates</w:t>
            </w:r>
          </w:p>
        </w:tc>
        <w:tc>
          <w:tcPr>
            <w:tcW w:w="1980" w:type="dxa"/>
            <w:vMerge w:val="restart"/>
            <w:tcBorders>
              <w:top w:val="single" w:sz="4" w:space="0" w:color="000000"/>
              <w:start w:val="single" w:sz="4" w:space="0" w:color="000000"/>
              <w:bottom w:val="single" w:sz="4" w:space="0" w:color="000000"/>
              <w:end w:val="single" w:sz="4" w:space="0" w:color="000000"/>
            </w:tcBorders>
            <w:vAlign w:val="center"/>
          </w:tcPr>
          <w:p>
            <w:pPr>
              <w:pStyle w:val="BodyText"/>
              <w:spacing w:before="0" w:after="0"/>
              <w:ind w:hanging="0" w:end="0"/>
              <w:jc w:val="center"/>
              <w:rPr>
                <w:lang w:eastAsia="en-US"/>
              </w:rPr>
            </w:pPr>
            <w:r>
              <w:rPr>
                <w:lang w:eastAsia="en-US"/>
              </w:rPr>
              <w:t>Holders</w:t>
            </w:r>
          </w:p>
        </w:tc>
      </w:tr>
      <w:tr>
        <w:trPr>
          <w:trHeight w:val="502" w:hRule="atLeast"/>
        </w:trPr>
        <w:tc>
          <w:tcPr>
            <w:tcW w:w="2160" w:type="dxa"/>
            <w:gridSpan w:val="2"/>
            <w:vMerge w:val="continue"/>
            <w:tcBorders>
              <w:top w:val="single" w:sz="4" w:space="0" w:color="000000"/>
              <w:start w:val="single" w:sz="4" w:space="0" w:color="000000"/>
            </w:tcBorders>
            <w:vAlign w:val="center"/>
          </w:tcPr>
          <w:p>
            <w:pPr>
              <w:pStyle w:val="BodyText"/>
              <w:snapToGrid w:val="false"/>
              <w:spacing w:before="0" w:after="0"/>
              <w:ind w:hanging="0" w:end="0"/>
              <w:jc w:val="center"/>
              <w:rPr>
                <w:lang w:eastAsia="en-US"/>
              </w:rPr>
            </w:pPr>
            <w:r>
              <w:rPr>
                <w:lang w:eastAsia="en-US"/>
              </w:rPr>
            </w:r>
          </w:p>
        </w:tc>
        <w:tc>
          <w:tcPr>
            <w:tcW w:w="1080" w:type="dxa"/>
            <w:tcBorders/>
          </w:tcPr>
          <w:p>
            <w:pPr>
              <w:pStyle w:val="BodyText"/>
              <w:snapToGrid w:val="false"/>
              <w:spacing w:before="0" w:after="0"/>
              <w:ind w:hanging="0" w:end="0"/>
              <w:jc w:val="center"/>
              <w:rPr>
                <w:lang w:eastAsia="en-US"/>
              </w:rPr>
            </w:pPr>
            <w:r>
              <w:rPr>
                <w:lang w:eastAsia="en-US"/>
              </w:rPr>
            </w:r>
          </w:p>
        </w:tc>
        <w:tc>
          <w:tcPr>
            <w:tcW w:w="2160" w:type="dxa"/>
            <w:gridSpan w:val="4"/>
            <w:vMerge w:val="continue"/>
            <w:tcBorders>
              <w:top w:val="single" w:sz="4" w:space="0" w:color="000000"/>
              <w:end w:val="single" w:sz="4" w:space="0" w:color="000000"/>
            </w:tcBorders>
            <w:vAlign w:val="center"/>
          </w:tcPr>
          <w:p>
            <w:pPr>
              <w:pStyle w:val="BodyText"/>
              <w:snapToGrid w:val="false"/>
              <w:spacing w:before="0" w:after="0"/>
              <w:ind w:hanging="0" w:end="0"/>
              <w:jc w:val="center"/>
              <w:rPr>
                <w:lang w:eastAsia="en-US"/>
              </w:rPr>
            </w:pPr>
            <w:r>
              <w:rPr>
                <w:lang w:eastAsia="en-US"/>
              </w:rPr>
            </w:r>
          </w:p>
        </w:tc>
        <w:tc>
          <w:tcPr>
            <w:tcW w:w="1278" w:type="dxa"/>
            <w:tcBorders/>
          </w:tcPr>
          <w:p>
            <w:pPr>
              <w:pStyle w:val="BodyText"/>
              <w:snapToGrid w:val="false"/>
              <w:spacing w:before="0" w:after="0"/>
              <w:ind w:hanging="0" w:end="0"/>
              <w:rPr>
                <w:lang w:eastAsia="en-US"/>
              </w:rPr>
            </w:pPr>
            <w:r>
              <w:rPr>
                <w:lang w:eastAsia="en-US"/>
              </w:rPr>
            </w:r>
          </w:p>
        </w:tc>
        <w:tc>
          <w:tcPr>
            <w:tcW w:w="1980" w:type="dxa"/>
            <w:vMerge w:val="continue"/>
            <w:tcBorders>
              <w:top w:val="single" w:sz="4" w:space="0" w:color="000000"/>
              <w:start w:val="single" w:sz="4" w:space="0" w:color="000000"/>
              <w:bottom w:val="single" w:sz="4" w:space="0" w:color="000000"/>
              <w:end w:val="single" w:sz="4" w:space="0" w:color="000000"/>
            </w:tcBorders>
            <w:vAlign w:val="center"/>
          </w:tcPr>
          <w:p>
            <w:pPr>
              <w:pStyle w:val="BodyText"/>
              <w:snapToGrid w:val="false"/>
              <w:spacing w:before="0" w:after="0"/>
              <w:ind w:hanging="0" w:end="0"/>
              <w:rPr>
                <w:lang w:eastAsia="en-US"/>
              </w:rPr>
            </w:pPr>
            <w:r>
              <w:rPr>
                <w:lang w:eastAsia="en-US"/>
              </w:rPr>
            </w:r>
          </w:p>
        </w:tc>
      </w:tr>
      <w:tr>
        <w:trPr/>
        <w:tc>
          <w:tcPr>
            <w:tcW w:w="2160" w:type="dxa"/>
            <w:gridSpan w:val="2"/>
            <w:tcBorders/>
          </w:tcPr>
          <w:p>
            <w:pPr>
              <w:pStyle w:val="BodyText"/>
              <w:snapToGrid w:val="false"/>
              <w:spacing w:before="0" w:after="0"/>
              <w:ind w:hanging="0" w:end="0"/>
              <w:rPr>
                <w:lang w:val="en-CA" w:eastAsia="en-US"/>
              </w:rPr>
            </w:pPr>
            <w:r>
              <w:rPr>
                <w:lang w:val="en-CA" w:eastAsia="en-US"/>
              </w:rPr>
            </w:r>
            <w:r>
              <mc:AlternateContent>
                <mc:Choice Requires="wps">
                  <w:drawing>
                    <wp:anchor behindDoc="0" distT="0" distB="0" distL="114935" distR="114935" simplePos="0" locked="0" layoutInCell="0" allowOverlap="1" relativeHeight="7">
                      <wp:simplePos x="0" y="0"/>
                      <wp:positionH relativeFrom="margin">
                        <wp:posOffset>2070100</wp:posOffset>
                      </wp:positionH>
                      <wp:positionV relativeFrom="page">
                        <wp:posOffset>3613150</wp:posOffset>
                      </wp:positionV>
                      <wp:extent cx="365760" cy="274320"/>
                      <wp:effectExtent l="0" t="0" r="0" b="0"/>
                      <wp:wrapNone/>
                      <wp:docPr id="9" name="Frame6"/>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2"/>
                                  </w:r>
                                </w:p>
                              </w:txbxContent>
                            </wps:txbx>
                            <wps:bodyPr anchor="t" lIns="92075" tIns="46355" rIns="92075" bIns="46355">
                              <a:noAutofit/>
                            </wps:bodyPr>
                          </wps:wsp>
                        </a:graphicData>
                      </a:graphic>
                    </wp:anchor>
                  </w:drawing>
                </mc:Choice>
                <mc:Fallback>
                  <w:pict>
                    <v:rect fillcolor="#FFFFFF" style="position:absolute;rotation:-0;width:28.8pt;height:21.6pt;mso-wrap-distance-left:9.05pt;mso-wrap-distance-right:9.05pt;mso-wrap-distance-top:0pt;mso-wrap-distance-bottom:0pt;margin-top:284.5pt;mso-position-vertical-relative:page;margin-left:163pt;mso-position-horizontal-relative:margin">
                      <v:fill opacity="0f"/>
                      <v:textbox inset="0.100694444444444in,0.0506944444444444in,0.100694444444444in,0.0506944444444444in">
                        <w:txbxContent>
                          <w:p>
                            <w:pPr>
                              <w:pStyle w:val="Normal"/>
                              <w:rPr>
                                <w:rFonts w:ascii="Wingdings" w:hAnsi="Wingdings" w:eastAsia="Wingdings" w:cs="Wingdings"/>
                                <w:lang w:eastAsia="en-US"/>
                              </w:rPr>
                            </w:pPr>
                            <w:r>
                              <w:rPr>
                                <w:rFonts w:eastAsia="Wingdings" w:cs="Wingdings" w:ascii="Wingdings" w:hAnsi="Wingdings"/>
                                <w:lang w:eastAsia="en-US"/>
                              </w:rPr>
                              <w:sym w:font="Wingdings" w:char="f0f2"/>
                            </w:r>
                          </w:p>
                        </w:txbxContent>
                      </v:textbox>
                      <w10:wrap type="none"/>
                    </v:rect>
                  </w:pict>
                </mc:Fallback>
              </mc:AlternateContent>
            </w:r>
          </w:p>
        </w:tc>
        <w:tc>
          <w:tcPr>
            <w:tcW w:w="1080" w:type="dxa"/>
            <w:tcBorders/>
          </w:tcPr>
          <w:p>
            <w:pPr>
              <w:pStyle w:val="BodyText"/>
              <w:spacing w:before="120" w:after="120"/>
              <w:ind w:hanging="0" w:end="0"/>
              <w:jc w:val="center"/>
              <w:rPr>
                <w:lang w:eastAsia="en-US"/>
              </w:rPr>
            </w:pPr>
            <w:r>
              <w:rPr>
                <w:lang w:eastAsia="en-US"/>
              </w:rPr>
              <w:t>Sterling</w:t>
              <w:br/>
              <w:t>Swap</w:t>
              <w:br/>
              <w:t>Payments</w:t>
            </w:r>
          </w:p>
        </w:tc>
        <w:tc>
          <w:tcPr>
            <w:tcW w:w="360" w:type="dxa"/>
            <w:tcBorders/>
          </w:tcPr>
          <w:p>
            <w:pPr>
              <w:pStyle w:val="BodyText"/>
              <w:snapToGrid w:val="false"/>
              <w:spacing w:before="120" w:after="120"/>
              <w:ind w:hanging="0" w:end="0"/>
              <w:rPr>
                <w:lang w:eastAsia="en-US"/>
              </w:rPr>
            </w:pPr>
            <w:r>
              <w:rPr>
                <w:lang w:eastAsia="en-US"/>
              </w:rPr>
            </w:r>
          </w:p>
        </w:tc>
        <w:tc>
          <w:tcPr>
            <w:tcW w:w="1440" w:type="dxa"/>
            <w:gridSpan w:val="2"/>
            <w:tcBorders>
              <w:start w:val="dashed" w:sz="4" w:space="0" w:color="000000"/>
              <w:end w:val="dashed" w:sz="4" w:space="0" w:color="000000"/>
            </w:tcBorders>
          </w:tcPr>
          <w:p>
            <w:pPr>
              <w:pStyle w:val="BodyText"/>
              <w:snapToGrid w:val="false"/>
              <w:spacing w:before="120" w:after="120"/>
              <w:ind w:hanging="0" w:end="0"/>
              <w:rPr>
                <w:lang w:eastAsia="en-US"/>
              </w:rPr>
            </w:pPr>
            <w:r>
              <w:rPr>
                <w:lang w:eastAsia="en-US"/>
              </w:rPr>
            </w:r>
          </w:p>
        </w:tc>
        <w:tc>
          <w:tcPr>
            <w:tcW w:w="360" w:type="dxa"/>
            <w:tcBorders/>
          </w:tcPr>
          <w:p>
            <w:pPr>
              <w:pStyle w:val="BodyText"/>
              <w:snapToGrid w:val="false"/>
              <w:spacing w:before="120" w:after="120"/>
              <w:ind w:hanging="0" w:end="0"/>
              <w:rPr>
                <w:lang w:eastAsia="en-US"/>
              </w:rPr>
            </w:pPr>
            <w:r>
              <w:rPr>
                <w:lang w:eastAsia="en-US"/>
              </w:rPr>
            </w:r>
          </w:p>
        </w:tc>
        <w:tc>
          <w:tcPr>
            <w:tcW w:w="1278" w:type="dxa"/>
            <w:tcBorders/>
          </w:tcPr>
          <w:p>
            <w:pPr>
              <w:pStyle w:val="BodyText"/>
              <w:spacing w:before="120" w:after="120"/>
              <w:ind w:hanging="0" w:end="0"/>
              <w:jc w:val="center"/>
              <w:rPr>
                <w:lang w:eastAsia="en-US"/>
              </w:rPr>
            </w:pPr>
            <w:r>
              <w:rPr>
                <w:lang w:eastAsia="en-US"/>
              </w:rPr>
              <w:t>Dollar</w:t>
              <w:br/>
              <w:t>Swap</w:t>
              <w:br/>
              <w:t>Payments</w:t>
            </w:r>
          </w:p>
        </w:tc>
        <w:tc>
          <w:tcPr>
            <w:tcW w:w="1980" w:type="dxa"/>
            <w:tcBorders/>
            <w:tcMar>
              <w:start w:w="0" w:type="dxa"/>
              <w:end w:w="0" w:type="dxa"/>
            </w:tcMar>
          </w:tcPr>
          <w:p>
            <w:pPr>
              <w:pStyle w:val="Normal"/>
              <w:snapToGrid w:val="false"/>
              <w:rPr>
                <w:lang w:eastAsia="en-US"/>
              </w:rPr>
            </w:pPr>
            <w:r>
              <w:rPr>
                <w:lang w:eastAsia="en-US"/>
              </w:rPr>
            </w:r>
          </w:p>
        </w:tc>
      </w:tr>
      <w:tr>
        <w:trPr>
          <w:trHeight w:val="480" w:hRule="atLeast"/>
        </w:trPr>
        <w:tc>
          <w:tcPr>
            <w:tcW w:w="2160" w:type="dxa"/>
            <w:gridSpan w:val="2"/>
            <w:tcBorders/>
          </w:tcPr>
          <w:p>
            <w:pPr>
              <w:pStyle w:val="BodyText"/>
              <w:snapToGrid w:val="false"/>
              <w:spacing w:before="0" w:after="0"/>
              <w:ind w:hanging="0" w:end="0"/>
              <w:rPr>
                <w:lang w:eastAsia="en-US"/>
              </w:rPr>
            </w:pPr>
            <w:r>
              <w:rPr>
                <w:lang w:eastAsia="en-US"/>
              </w:rPr>
            </w:r>
          </w:p>
        </w:tc>
        <w:tc>
          <w:tcPr>
            <w:tcW w:w="1080" w:type="dxa"/>
            <w:tcBorders/>
          </w:tcPr>
          <w:p>
            <w:pPr>
              <w:pStyle w:val="BodyText"/>
              <w:snapToGrid w:val="false"/>
              <w:spacing w:before="0" w:after="0"/>
              <w:ind w:hanging="0" w:end="0"/>
              <w:rPr>
                <w:lang w:eastAsia="en-US"/>
              </w:rPr>
            </w:pPr>
            <w:r>
              <w:rPr>
                <w:lang w:eastAsia="en-US"/>
              </w:rPr>
            </w:r>
          </w:p>
        </w:tc>
        <w:tc>
          <w:tcPr>
            <w:tcW w:w="2160" w:type="dxa"/>
            <w:gridSpan w:val="4"/>
            <w:tcBorders>
              <w:top w:val="single" w:sz="4" w:space="0" w:color="000000"/>
              <w:start w:val="single" w:sz="4" w:space="0" w:color="000000"/>
              <w:bottom w:val="single" w:sz="4" w:space="0" w:color="000000"/>
              <w:end w:val="single" w:sz="4" w:space="0" w:color="000000"/>
            </w:tcBorders>
          </w:tcPr>
          <w:p>
            <w:pPr>
              <w:pStyle w:val="BodyText"/>
              <w:spacing w:before="0" w:after="0"/>
              <w:ind w:hanging="0" w:end="0"/>
              <w:jc w:val="center"/>
              <w:rPr>
                <w:lang w:eastAsia="en-US"/>
              </w:rPr>
            </w:pPr>
            <w:r>
              <w:rPr>
                <w:lang w:eastAsia="en-US"/>
              </w:rPr>
              <w:t>Swap</w:t>
              <w:br/>
              <w:t>Counterparty</w:t>
            </w:r>
          </w:p>
        </w:tc>
        <w:tc>
          <w:tcPr>
            <w:tcW w:w="1278" w:type="dxa"/>
            <w:tcBorders/>
          </w:tcPr>
          <w:p>
            <w:pPr>
              <w:pStyle w:val="BodyText"/>
              <w:snapToGrid w:val="false"/>
              <w:spacing w:before="0" w:after="0"/>
              <w:ind w:hanging="0" w:end="0"/>
              <w:rPr>
                <w:lang w:eastAsia="en-US"/>
              </w:rPr>
            </w:pPr>
            <w:r>
              <w:rPr>
                <w:lang w:eastAsia="en-US"/>
              </w:rPr>
            </w:r>
          </w:p>
        </w:tc>
        <w:tc>
          <w:tcPr>
            <w:tcW w:w="1980" w:type="dxa"/>
            <w:tcBorders/>
            <w:tcMar>
              <w:start w:w="0" w:type="dxa"/>
              <w:end w:w="0" w:type="dxa"/>
            </w:tcMar>
          </w:tcPr>
          <w:p>
            <w:pPr>
              <w:pStyle w:val="Normal"/>
              <w:snapToGrid w:val="false"/>
              <w:rPr>
                <w:lang w:eastAsia="en-US"/>
              </w:rPr>
            </w:pPr>
            <w:r>
              <w:rPr>
                <w:lang w:eastAsia="en-US"/>
              </w:rPr>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Borders w:display="allPages" w:offsetFrom="text">
            <w:top w:val="single" w:sz="4" w:space="8" w:color="000000"/>
            <w:left w:val="single" w:sz="4" w:space="12" w:color="000000"/>
            <w:bottom w:val="single" w:sz="4" w:space="8" w:color="000000"/>
            <w:right w:val="single" w:sz="4" w:space="12" w:color="000000"/>
          </w:pgBorders>
          <w:pgNumType w:fmt="decimal"/>
          <w:formProt w:val="false"/>
          <w:titlePg/>
          <w:textDirection w:val="lrTb"/>
          <w:docGrid w:type="default" w:linePitch="360" w:charSpace="0"/>
        </w:sectPr>
        <w:pStyle w:val="BodyText"/>
        <w:ind w:hanging="0" w:end="0"/>
        <w:rPr>
          <w:lang w:eastAsia="en-US"/>
        </w:rPr>
      </w:pPr>
      <w:r>
        <w:rPr>
          <w:lang w:eastAsia="en-US"/>
        </w:rPr>
      </w:r>
    </w:p>
    <w:p>
      <w:pPr>
        <w:pStyle w:val="Heading1"/>
        <w:ind w:hanging="0" w:start="0"/>
        <w:rPr/>
      </w:pPr>
      <w:r>
        <w:rPr/>
        <w:t>Risk Factors</w:t>
      </w:r>
    </w:p>
    <w:p>
      <w:pPr>
        <w:pStyle w:val="BodyText"/>
        <w:rPr>
          <w:lang w:eastAsia="en-US"/>
        </w:rPr>
      </w:pPr>
      <w:r>
        <w:rPr>
          <w:lang w:eastAsia="en-US"/>
        </w:rPr>
        <w:t>Prospective purchasers of the Certificates should consider carefully the following risk factors, in addition to the other information in this Offering Circular and the documents that are incorporated by reference herein, in evaluating an investment in the Certificates.</w:t>
      </w:r>
    </w:p>
    <w:p>
      <w:pPr>
        <w:pStyle w:val="Heading3"/>
        <w:ind w:hanging="360" w:end="0"/>
        <w:rPr>
          <w:b/>
          <w:i w:val="false"/>
          <w:i w:val="false"/>
        </w:rPr>
      </w:pPr>
      <w:r>
        <w:rPr>
          <w:b/>
          <w:i w:val="false"/>
        </w:rPr>
        <w:t>Credit Risk of Enron and the Swap Counterparty</w:t>
      </w:r>
    </w:p>
    <w:p>
      <w:pPr>
        <w:pStyle w:val="BodyText"/>
        <w:rPr>
          <w:lang w:eastAsia="en-US"/>
        </w:rPr>
      </w:pPr>
      <w:r>
        <w:rPr>
          <w:lang w:eastAsia="en-US"/>
        </w:rPr>
        <w:t>The ability of the Trust to make distributions in respect of the Certificates will depend entirely on the performance of Enron and the Trust’s receipt of payments with respect to the Senior Notes. Prior to the occurrence of a Conversion Event, the ability of the Trust to make such distributions in US Dollars will depend upon the performance of the Swap Counterparty under the Currency Swap.  Accordingly, the value of the Certificates will depend on, and will fluctuate with, the market’s perception of the financial position of Enron and the Swap Counterparty.</w:t>
      </w:r>
    </w:p>
    <w:p>
      <w:pPr>
        <w:pStyle w:val="Heading3"/>
        <w:ind w:hanging="360" w:end="0"/>
        <w:rPr>
          <w:b/>
          <w:i w:val="false"/>
          <w:i w:val="false"/>
        </w:rPr>
      </w:pPr>
      <w:r>
        <w:rPr>
          <w:b/>
          <w:i w:val="false"/>
        </w:rPr>
        <w:t>Default under Currency Swap</w:t>
      </w:r>
    </w:p>
    <w:p>
      <w:pPr>
        <w:pStyle w:val="BodyText"/>
        <w:rPr>
          <w:lang w:eastAsia="en-US"/>
        </w:rPr>
      </w:pPr>
      <w:r>
        <w:rPr>
          <w:lang w:eastAsia="en-US"/>
        </w:rPr>
        <w:t>Upon the occurrence of a Swap Termination Event, the ability of the Trust to make distributions in respect of the Certificates will depend entirely on the performance of Enron and the Trust’s receipt of payments with respect to the Senior Notes. Upon the occurrence of a Swap Termination Event, neither the Trust nor the Swap Counterparty is required to make any Swap Termination Payment to or for the benefit of Holders, unless such Swap Termination Event does not result from a Conversion Event, in which case the Trust would make a claim against the Swap Counterparty to recover a Swap Termination Payment.</w:t>
      </w:r>
    </w:p>
    <w:p>
      <w:pPr>
        <w:pStyle w:val="Heading3"/>
        <w:ind w:hanging="360" w:end="0"/>
        <w:rPr>
          <w:b/>
          <w:i w:val="false"/>
          <w:i w:val="false"/>
        </w:rPr>
      </w:pPr>
      <w:r>
        <w:rPr>
          <w:b/>
          <w:i w:val="false"/>
        </w:rPr>
        <w:t>Currency Risk</w:t>
      </w:r>
    </w:p>
    <w:p>
      <w:pPr>
        <w:pStyle w:val="BodyText"/>
        <w:rPr>
          <w:lang w:eastAsia="en-US"/>
        </w:rPr>
      </w:pPr>
      <w:r>
        <w:rPr>
          <w:lang w:eastAsia="en-US"/>
        </w:rPr>
        <w:t>Unless a Swap Termination Event is the result of a Conversion Event, all distributions in respect of the Certificates subsequent to such Swap Termination Event will consist of the £ Sterling received by the Trust in respect of payments of principal of and interest on the Senior Notes (together with any unpaid Dollar Swap Payment or other US Dollar amount received by the Trust as a result of such Swap Termination Event). Such distributions in £ Sterling will be distributed by the Trust to the Holders on the Distribution Dates (including the Final Distribution Date) at rates that may be less favorable to Holders than the market exchange rate of US Dollars for £ Sterling prevailing at the Certificate Issue Date. Also, if distributions in respect of the Certificates become payable in £ Sterling as a result of such a Swap Termination Event, a decline in the value of £ Sterling against the US Dollar could result in a decrease in the effective yield on the Certificates and a loss of principal on a US Dollar basis. Over the last five years, the exchange rate between UK pounds sterling and US dollars, based upon the closing mid-point in London and expressed as the amount of US dollars for £1, has ranged from approximately $1.72 to $1.46. See “Description of the Certificates—Book-Entry Issuance—Denomination of Payments and Exchange Rate Agency Agreement.”</w:t>
      </w:r>
    </w:p>
    <w:p>
      <w:pPr>
        <w:pStyle w:val="Heading3"/>
        <w:ind w:hanging="360" w:end="0"/>
        <w:rPr>
          <w:b/>
          <w:i w:val="false"/>
          <w:i w:val="false"/>
        </w:rPr>
      </w:pPr>
      <w:r>
        <w:rPr>
          <w:b/>
          <w:i w:val="false"/>
        </w:rPr>
        <w:t>Passive Nature of the Trust</w:t>
      </w:r>
    </w:p>
    <w:p>
      <w:pPr>
        <w:pStyle w:val="BodyText"/>
        <w:rPr>
          <w:lang w:eastAsia="en-US"/>
        </w:rPr>
      </w:pPr>
      <w:r>
        <w:rPr>
          <w:lang w:eastAsia="en-US"/>
        </w:rPr>
        <w:t>The Trust will hold the Senior Notes for the benefit of the Holders until the Final Distribution Date. The Trust will not have discretion to dispose of the Senior Notes, regardless of the occurrence of adverse events, financial or otherwise, that may affect the value of the Senior Notes. Under no circumstances will the Trust be permitted to distribute the Senior Notes in kind to Holders.</w:t>
      </w:r>
    </w:p>
    <w:p>
      <w:pPr>
        <w:pStyle w:val="Heading3"/>
        <w:ind w:hanging="360" w:end="0"/>
        <w:rPr>
          <w:b/>
          <w:i w:val="false"/>
          <w:i w:val="false"/>
        </w:rPr>
      </w:pPr>
      <w:r>
        <w:rPr>
          <w:b/>
          <w:i w:val="false"/>
        </w:rPr>
        <w:t>Restrictions on Transferability; Lack of Established Trading Market</w:t>
      </w:r>
    </w:p>
    <w:p>
      <w:pPr>
        <w:pStyle w:val="BodyText"/>
        <w:rPr>
          <w:lang w:eastAsia="en-US"/>
        </w:rPr>
      </w:pPr>
      <w:r>
        <w:rPr>
          <w:lang w:eastAsia="en-US"/>
        </w:rPr>
        <w:t>The Certificates have not been and will not be registered under the Securities Act or any state securities laws and, therefore, may not be offered or sold, except pursuant to an exemption from the registration requirements of, or in a transaction not subject to, the Securities Act and applicable state securities laws.  See “Notice to Investors.” The Certificates constitute a new issue of securities with no established trading market. There can be no assurance as to the development of any market for the Certificates or, if any such market does develop, as to the liquidity thereof. If a market does not develop, the price and liquidity of the Certificates may be adversely affected, and purchasers may be unable to resell Certificates for an extended period of time, if at all. Consequently, purchasers may not be able to liquidate their investments and Certificates may not be readily acceptable as collateral for loans.</w:t>
      </w:r>
    </w:p>
    <w:p>
      <w:pPr>
        <w:pStyle w:val="Heading2"/>
        <w:ind w:hanging="0" w:start="0"/>
        <w:rPr>
          <w:lang w:eastAsia="en-US"/>
        </w:rPr>
      </w:pPr>
      <w:r>
        <w:rPr>
          <w:lang w:eastAsia="en-US"/>
        </w:rPr>
      </w:r>
      <w:r>
        <w:br w:type="page"/>
      </w:r>
    </w:p>
    <w:p>
      <w:pPr>
        <w:pStyle w:val="Heading1"/>
        <w:ind w:hanging="0" w:start="0"/>
        <w:rPr/>
      </w:pPr>
      <w:r>
        <w:rPr/>
        <w:t>Use of Proceeds</w:t>
      </w:r>
    </w:p>
    <w:p>
      <w:pPr>
        <w:pStyle w:val="Centered12Before"/>
        <w:ind w:firstLine="720" w:end="0"/>
        <w:jc w:val="start"/>
        <w:rPr/>
      </w:pPr>
      <w:r>
        <w:rPr/>
        <w:t>All of the proceeds from the offering by the Trust of the Certificates (which will be in US Dollars) will be exchanged by the Trust with the Swap Counterparty for £ Sterling. The Trust will use the £ Sterling, together with the proceeds received by the Trust from the Callholder in consideration for the Call Option (which also will be in £ Sterling), to purchase the Senior Notes. The net proceeds to Enron from the sale of the Senior Notes will be used</w:t>
      </w:r>
      <w:r>
        <w:rPr>
          <w:lang w:eastAsia="en-US"/>
        </w:rPr>
        <w:t xml:space="preserve"> </w:t>
      </w:r>
      <w:r>
        <w:rPr/>
        <w:t>principally to repay short-term indebtedness and for general corporate purposes. As of March 31, 2000, Enron’s weighted average interest rate on outstanding short-term indebtedness was approximately __%.</w:t>
      </w:r>
      <w:r>
        <w:br w:type="page"/>
      </w:r>
    </w:p>
    <w:p>
      <w:pPr>
        <w:pStyle w:val="Centered12Before"/>
        <w:ind w:firstLine="720" w:end="0"/>
        <w:jc w:val="start"/>
        <w:rPr/>
      </w:pPr>
      <w:r>
        <w:rPr/>
        <w:t xml:space="preserve"> </w:t>
      </w:r>
    </w:p>
    <w:p>
      <w:pPr>
        <w:pStyle w:val="Heading1"/>
        <w:ind w:hanging="0" w:start="0"/>
        <w:rPr/>
      </w:pPr>
      <w:r>
        <w:rPr/>
        <w:t>Formation of the Trust</w:t>
      </w:r>
    </w:p>
    <w:p>
      <w:pPr>
        <w:pStyle w:val="BodyText"/>
        <w:rPr>
          <w:lang w:eastAsia="en-US"/>
        </w:rPr>
      </w:pPr>
      <w:r>
        <w:rPr>
          <w:lang w:eastAsia="en-US"/>
        </w:rPr>
        <w:t>The Trust will be formed pursuant to the Trust Agreement between Enron and the Trust. Pursuant to the Trust Agreement, the Trust will purchase the Senior Notes from Enron, enter into the Currency Swap and the Call Option and issue and sell the Certificates to the Initial Purchaser. The sole assets of the Trust will consist of (a) the Senior Notes and (b) the Trust’s rights under the Currency Swap and the Call Option (collectively, the “Trust Assets”). The Holders will receive distributions on the Certificates solely from these assets.</w:t>
      </w:r>
    </w:p>
    <w:p>
      <w:pPr>
        <w:pStyle w:val="Heading1"/>
        <w:ind w:hanging="0" w:start="0"/>
        <w:rPr/>
      </w:pPr>
      <w:r>
        <w:rPr/>
        <w:t>Description of the Swap Counterparty and the Callholder</w:t>
      </w:r>
    </w:p>
    <w:p>
      <w:pPr>
        <w:pStyle w:val="BodyText"/>
        <w:rPr>
          <w:lang w:eastAsia="en-US"/>
        </w:rPr>
      </w:pPr>
      <w:r>
        <w:rPr>
          <w:lang w:eastAsia="en-US"/>
        </w:rPr>
        <w:t xml:space="preserve">Each of the Swap Counterparty and the Callholder is the London Branch of UBS AG (“UBS”). UBS is a Swiss banking corporation that is the successor by merger to Swiss Bank Corporation and Union Bank of Switzerland. The merger was completed on June 29, 1998. UBS’s principal executive offices are located at Bahnhofstrasse 45, Zurich and Aeschenvorstadt 1, Basel. The principal office of the London Branch of UBS is 1/2 Finsbury Avenue, London EC2M 2PP. </w:t>
      </w:r>
    </w:p>
    <w:p>
      <w:pPr>
        <w:pStyle w:val="BodyText"/>
        <w:rPr/>
      </w:pPr>
      <w:r>
        <w:rPr/>
        <w:t xml:space="preserve">UBS is a global integrated investment services firm and the leading bank in Switzerland, and it ranks among the largest banks worldwide based on total assets. UBS is involved in all major banking activities, including international investment banking and corporate finance, private banking, institutional asset management and Swiss retail and corporate banking.  UBS’s business is managed through three main business groups and its Corporate Center.  These business groups are UBS Switzerland, UBS Asset Management and UBS Warburg. UBS Switzerland is composed of two business units: the Swiss Private Banking business unit, which offers private banking services in Switzerland and in major international offshore centers, and the Private and Corporate Clients business unit, which focuses primarily on high-volume, standardized domestic personal and commercial banking activities in Switzerland. UBS Warburg is responsible for UBS’s integrated investment banking and securities businesses, which includes  UBS’s Equities, Fixed Income, Corporate Finance and Treasury Products businesses, the private equity business through UBS Capital (which makes medium term majority or minority equity investments in established or emerging unlisted companies), UBS’s e-services business, which is planning to launch a pan-European investment services business in autumn 2000 and UBS’s Private Banking businesses outside Switzerland. UBS Warburg’s objective is to  form a leading global investment services firm.  UBS Asset Management provides global institutional asset management services.   It invests globally for a world-wide client base consisting of institutional investors such as pension funds, public funds and central banks and also manages UBS’s investment funds. The Corporate Center coordinates UBS’s three operating business groups and provides UBS with leadership and shared services. To perform this role, the Corporate Center establishes standards and principles to be applied by the business areas. Each of the above business areas are described in more detail in UBS’s Form 20-F filed . </w:t>
      </w:r>
    </w:p>
    <w:p>
      <w:pPr>
        <w:pStyle w:val="BodyText"/>
        <w:rPr>
          <w:lang w:eastAsia="en-US"/>
        </w:rPr>
      </w:pPr>
      <w:r>
        <w:rPr>
          <w:lang w:eastAsia="en-US"/>
        </w:rPr>
        <w:t>At March 31, 2000, UBS and its consolidated subsidiaries (the “Group”) had total assets of SFr ____ billion (US $____ billion at the applicable exchange rate on March 31, 2000) and shareholders’ equity of SFr ____ billion (US $__ billion at such exchange rate). These figures are derived from consolidated financial statements of the Group for the three months ended March 31, 2000 and are qualified by reference to such financial statements, including the notes thereto.</w:t>
      </w:r>
    </w:p>
    <w:p>
      <w:pPr>
        <w:pStyle w:val="BodyText"/>
        <w:rPr/>
      </w:pPr>
      <w:r>
        <w:rPr>
          <w:lang w:eastAsia="en-US"/>
        </w:rPr>
        <w:t>Copies of the UBS Financial Report for the year ended December 31, 1999 and of UBS’s Three Month Report for the three months ended March 31, 2000, are available from the London Branch of UBS on request at its address set forth above and also on a Web site maintained by UBS at http:// www.ubs.com. UBS is also subject to the informational requirements of the Exchange Act and in accordance therewith has filed a</w:t>
      </w:r>
      <w:r>
        <w:rPr/>
        <w:t xml:space="preserve"> Registration Statement on Form 20-F with the Commission, which includes the audited consolidated balance sheets of the Group </w:t>
      </w:r>
      <w:r>
        <w:fldChar w:fldCharType="begin"/>
      </w:r>
      <w:r>
        <w:rPr/>
        <w:instrText xml:space="preserve"> XE "Group" </w:instrText>
      </w:r>
      <w:r>
        <w:rPr/>
        <w:fldChar w:fldCharType="separate"/>
      </w:r>
      <w:r>
        <w:rPr/>
      </w:r>
      <w:r>
        <w:rPr/>
        <w:fldChar w:fldCharType="end"/>
      </w:r>
      <w:r>
        <w:rPr/>
        <w:t>as of September 30, 1999 and December 31, 1998 and the related consolidated financial statements of the Group for the nine months ended September 30, 1999 and the years ended December 31, 1998 and December 31, 1997</w:t>
      </w:r>
      <w:r>
        <w:fldChar w:fldCharType="begin"/>
      </w:r>
      <w:r>
        <w:rPr/>
        <w:instrText xml:space="preserve"> XE "Audited Interim Consolidated Financial Statements" </w:instrText>
      </w:r>
      <w:r>
        <w:rPr/>
        <w:fldChar w:fldCharType="separate"/>
      </w:r>
      <w:r>
        <w:rPr/>
      </w:r>
      <w:r>
        <w:rPr/>
        <w:fldChar w:fldCharType="end"/>
      </w:r>
      <w:r>
        <w:rPr/>
        <w:t>.</w:t>
      </w:r>
      <w:r>
        <w:rPr>
          <w:lang w:eastAsia="en-US"/>
        </w:rPr>
        <w:t xml:space="preserve"> The financial statements referred to above were prepared in accordance with international accounting standards, which vary in certain respects from US generally accepted accounting principles.</w:t>
      </w:r>
    </w:p>
    <w:p>
      <w:pPr>
        <w:pStyle w:val="BodyText"/>
        <w:rPr>
          <w:lang w:eastAsia="en-US"/>
        </w:rPr>
      </w:pPr>
      <w:r>
        <w:rPr>
          <w:lang w:eastAsia="en-US"/>
        </w:rPr>
        <w:t>UBS’s long-term and short-term debt ratings are (a) AA+ and A-1+, respectively, as assigned by S&amp;P and (b) Aa1 and P1, respectively, as assigned by Moody’s. These ratings have been obtained with the understanding that S&amp;P and Moody’s will continue to monitor such ratings and will make future adjustments to the extent warranted. A rating reflects only the views of S&amp;P and Moody’s, as the case may be. There is no assurance that any such rating will be retained for any given period of time or that it will not be revised downward or withdrawn entirely by S&amp;P or Moody’s, as the case may be, if, in its judgment, circumstances so warrant.</w:t>
      </w:r>
    </w:p>
    <w:p>
      <w:pPr>
        <w:pStyle w:val="Heading1"/>
        <w:ind w:hanging="0" w:start="0"/>
        <w:rPr/>
      </w:pPr>
      <w:r>
        <w:rPr/>
        <w:t>Description of the Certificates</w:t>
      </w:r>
    </w:p>
    <w:p>
      <w:pPr>
        <w:pStyle w:val="Heading2"/>
        <w:ind w:hanging="0" w:start="0"/>
        <w:rPr/>
      </w:pPr>
      <w:r>
        <w:rPr/>
        <w:t>General</w:t>
      </w:r>
    </w:p>
    <w:p>
      <w:pPr>
        <w:pStyle w:val="BodyText"/>
        <w:rPr>
          <w:lang w:eastAsia="en-US"/>
        </w:rPr>
      </w:pPr>
      <w:r>
        <w:rPr>
          <w:lang w:eastAsia="en-US"/>
        </w:rPr>
        <w:t>The Certificates represent in the aggregate the entire beneficial interest in the Trust Assets. On each Distribution Date, Holders will be entitled to receive (a) if a Swap Termination Event has not occurred or if a Swap Termination Event has occurred as the result of a Conversion Event, a distribution in US Dollars in an aggregate amount equal to      % per annum of the Certificate Principal Amount or (b) if a Swap Termination Event (other than a Conversion Event) has occurred, a distribution in £ Sterling in an aggregate amount equal to the interest payable on the Senior Notes on the Interest Payment Date corresponding to such Distribution Date. For a description of the interest rate reset provisions of the Senior Notes, see “Description of the Senior Notes—Interest.”</w:t>
      </w:r>
    </w:p>
    <w:p>
      <w:pPr>
        <w:pStyle w:val="BodyText"/>
        <w:rPr>
          <w:lang w:eastAsia="en-US"/>
        </w:rPr>
      </w:pPr>
      <w:r>
        <w:rPr>
          <w:lang w:eastAsia="en-US"/>
        </w:rPr>
        <w:t>Holders will also be entitled to receive, on the Final Distribution Date, a final distribution of all amounts collected by the Trust in respect of the Senior Notes in connection with the exercise of the Call Option or the Early Redemption Right, as the case may be. On the Final Distribution Date, all proceeds received by the Trust in £ Sterling as a result of the exercise of the Early Redemption Right or the Call Option, as the case may be, will be required to be paid by the Trust to the Swap Counterparty and the Swap Counterparty will be required to pay to the Trust a US Dollar amount equal to the Certificate Principal Amount. Such amount, together with the Dollar Swap Payment required to be paid by the Swap Counterparty to the Trust on the Final Distribution Date, will then be distributed to the Holders in payment of the principal of and interest on the Certificates on the Final Distribution Date. See “—Collections and Distributions” and “—Trust Termination Events.”</w:t>
      </w:r>
    </w:p>
    <w:p>
      <w:pPr>
        <w:pStyle w:val="BodyText"/>
        <w:rPr>
          <w:lang w:eastAsia="en-US"/>
        </w:rPr>
      </w:pPr>
      <w:r>
        <w:rPr>
          <w:lang w:eastAsia="en-US"/>
        </w:rPr>
        <w:t>After the occurrence of a Swap Termination Event (other than as a result of a Conversion Event), Holders will be entitled to receive £ Sterling distributions from the Trust on the Distribution Dates (including the Final Distribution Date) of all amounts payable in respect of the Senior Notes. Upon the occurrence of a Conversion Event, the Currency Swap will terminate and the Senior Notes will automatically convert to US Dollar-denominated obligations in an aggregate principal amount equal to the Certificate Principal Amount, effective from the date of the immediately preceding Interest Payment Date prior to the occurrence of such Conversion Event, with an annual interest rate of      % (calculated on the basis of a 360-day year, consisting of twelve 30-day months) until the Final Distribution Date, payable on each Distribution Date. Holders will thereafter be entitled to receive US Dollar distributions from the Trust on the Distribution Dates (including the Final Distribution Date) of all amounts payable in respect of the Senior Notes.  See “Description of the Senior Notes—Interest.”</w:t>
      </w:r>
    </w:p>
    <w:p>
      <w:pPr>
        <w:pStyle w:val="BodyText"/>
        <w:rPr>
          <w:lang w:eastAsia="en-US"/>
        </w:rPr>
      </w:pPr>
      <w:r>
        <w:rPr>
          <w:lang w:eastAsia="en-US"/>
        </w:rPr>
        <w:t>The Certificates will be delivered in registered form only to a nominee of DTC and will be issued, maintained and transferred on the book-entry records of DTC and its participants in minimum denominations of $100,000 and integral multiples of $1,000 in excess thereof. See “—Book-Entry Issuance.”</w:t>
      </w:r>
    </w:p>
    <w:p>
      <w:pPr>
        <w:pStyle w:val="Heading2"/>
        <w:ind w:hanging="0" w:start="0"/>
        <w:rPr/>
      </w:pPr>
      <w:r>
        <w:rPr/>
        <w:t>Collections and Distributions</w:t>
      </w:r>
    </w:p>
    <w:p>
      <w:pPr>
        <w:pStyle w:val="BodyText"/>
        <w:rPr>
          <w:lang w:eastAsia="en-US"/>
        </w:rPr>
      </w:pPr>
      <w:r>
        <w:rPr>
          <w:lang w:eastAsia="en-US"/>
        </w:rPr>
        <w:t xml:space="preserve">The Trust Agreement requires the Trust to establish and maintain one or more segregated accounts (collectively, the “Certificate Account”) held in trust for the benefit of the Holders. The Trust will cause to be deposited in the Certificate Account on the date of receipt thereof all amounts received with respect to the Trust Assets, including (a) all payments received on account of the Senior Notes, (b) all amounts received from the Callholder if the Call Option is exercised and (c) all amounts received from the Swap Counterparty pursuant to the Currency Swap. </w:t>
      </w:r>
    </w:p>
    <w:p>
      <w:pPr>
        <w:pStyle w:val="BodyText"/>
        <w:rPr/>
      </w:pPr>
      <w:r>
        <w:rPr>
          <w:lang w:eastAsia="en-US"/>
        </w:rPr>
        <w:t xml:space="preserve">On June 15 and December 15 of each year, commencing December 15, 2000 (each a “Distribution Date”), the Trust will distribute to Holders of record on the day immediately preceding the Distribution Date (the “Record Date”) the Available Funds (as defined below); </w:t>
      </w:r>
      <w:r>
        <w:rPr>
          <w:i/>
          <w:lang w:eastAsia="en-US"/>
        </w:rPr>
        <w:t xml:space="preserve">provided, however, </w:t>
      </w:r>
      <w:r>
        <w:rPr>
          <w:lang w:eastAsia="en-US"/>
        </w:rPr>
        <w:t xml:space="preserve">that if such date is not a Business Day (as defined below), the Trust will make such distribution on the next succeeding Business Day and no additional interest or other payment will be made in respect of such delay. </w:t>
      </w:r>
    </w:p>
    <w:p>
      <w:pPr>
        <w:pStyle w:val="BodyText"/>
        <w:rPr>
          <w:lang w:eastAsia="en-US"/>
        </w:rPr>
      </w:pPr>
      <w:r>
        <w:rPr>
          <w:lang w:eastAsia="en-US"/>
        </w:rPr>
        <w:t>In connection with the Final Distribution, the Trust will give notice to each Holder: (a) of the date that the Trust expects that the Final Distribution will be made; (b) of the expected amount of the Final Distribution for each Certificate, per initial $100,000 Certificate Principal Balance; and (c) that the Record Date otherwise applicable to such Distribution Date is not applicable.</w:t>
      </w:r>
    </w:p>
    <w:p>
      <w:pPr>
        <w:pStyle w:val="BodyText"/>
        <w:rPr>
          <w:lang w:eastAsia="en-US"/>
        </w:rPr>
      </w:pPr>
      <w:r>
        <w:rPr>
          <w:lang w:eastAsia="en-US"/>
        </w:rPr>
        <w:t>“</w:t>
      </w:r>
      <w:r>
        <w:rPr>
          <w:lang w:eastAsia="en-US"/>
        </w:rPr>
        <w:t>Available Funds” means, for any Distribution Date, the aggregate amount deposited in the Certificate Account since the last Distribution Date with respect to (a) for so long as the Senior Notes are denominated in £ Sterling and no Swap Termination Event has occurred, any Dollar Swap Payment or other US Dollar amount paid by the Swap Counterparty to the Trust under the Currency Swap, (b) if a Swap Termination Event has occurred (other than a Conversion Event), the £ Sterling payments in respect of the principal of and interest on the Senior Notes or, if applicable, any Swap Termination Payment or any unpaid Dollar Swap Payment or other unpaid US Dollar amount, (c) if a Conversion Event has occurred, the US Dollar payments in respect of the principal of and interest on the Senior Notes or any unpaid Dollar Swap Payment or other unpaid US Dollar amount, (d) all amounts received by the Trust in connection with an exercise of the Call Option or an exercise of the Early Redemption Right and (e) all amounts, property or proceeds received by the Trust in connection with a Trust Termination Event (as defined herein).</w:t>
      </w:r>
    </w:p>
    <w:p>
      <w:pPr>
        <w:pStyle w:val="BodyText"/>
        <w:rPr>
          <w:lang w:eastAsia="en-US"/>
        </w:rPr>
      </w:pPr>
      <w:r>
        <w:rPr>
          <w:lang w:eastAsia="en-US"/>
        </w:rPr>
        <w:t>“</w:t>
      </w:r>
      <w:r>
        <w:rPr>
          <w:lang w:eastAsia="en-US"/>
        </w:rPr>
        <w:t>Business Day” means each day that is not a Saturday, Sunday or day on which banking institutions and foreign exchange markets in New York City or London, as applicable, are authorized or obligated by law to remain closed.</w:t>
      </w:r>
    </w:p>
    <w:p>
      <w:pPr>
        <w:pStyle w:val="BodyText"/>
        <w:rPr/>
      </w:pPr>
      <w:r>
        <w:rPr>
          <w:lang w:eastAsia="en-US"/>
        </w:rPr>
        <w:t xml:space="preserve">All distributions to Holders will be allocated </w:t>
      </w:r>
      <w:r>
        <w:rPr>
          <w:i/>
          <w:lang w:eastAsia="en-US"/>
        </w:rPr>
        <w:t xml:space="preserve">pro rata </w:t>
      </w:r>
      <w:r>
        <w:rPr>
          <w:lang w:eastAsia="en-US"/>
        </w:rPr>
        <w:t>among the Holders based on the respective Certificate Principal Balance (as defined herein) of the Certificates held by each such Holder as of the Record Date with respect to such Distribution Date. “Certificate Principal Balance” means, with respect to an outstanding Certificate, as determined at any time, the maximum amount that the holder thereof is entitled to receive as distributions of principal.</w:t>
      </w:r>
    </w:p>
    <w:p>
      <w:pPr>
        <w:pStyle w:val="BodyText"/>
        <w:rPr>
          <w:lang w:eastAsia="en-US"/>
        </w:rPr>
      </w:pPr>
      <w:r>
        <w:rPr>
          <w:lang w:eastAsia="en-US"/>
        </w:rPr>
        <w:t>The Trust will comply with all US federal withholding requirements (including any requirements to withhold at reduced rates upon receipt of appropriate US federal tax forms) respecting distributions to beneficial owners of Certificates that the Trust reasonably believes are applicable under the US Internal Revenue Code of 1986, as amended (the “Code”). The consent of Holders or beneficial owners of Certificates will not be required for such withholding. In the event the Trust does withhold any amount from distributions to any beneficial owners of Certificates pursuant to US federal withholding requirements, the Trust will indicate in the related statement to Holders the amount so withheld.</w:t>
      </w:r>
    </w:p>
    <w:p>
      <w:pPr>
        <w:pStyle w:val="Heading2"/>
        <w:ind w:hanging="0" w:start="0"/>
        <w:rPr/>
      </w:pPr>
      <w:r>
        <w:rPr/>
        <w:t>Trust Termination Event</w:t>
      </w:r>
    </w:p>
    <w:p>
      <w:pPr>
        <w:pStyle w:val="BodyText"/>
        <w:rPr>
          <w:lang w:eastAsia="en-US"/>
        </w:rPr>
      </w:pPr>
      <w:r>
        <w:rPr>
          <w:lang w:eastAsia="en-US"/>
        </w:rPr>
        <w:t>Upon the occurrence of a Trust Termination Event, on the following Business Day following receipt by the Trust, the Trust will distribute to Holders all amounts, property or proceeds received in connection with such Trust Termination Event, together with any remaining amounts in the Certificate Account on the Business Day following such receipt by the Trust. A “Trust Termination Event” means: (a) the discharge by Enron of all of its obligations in respect of the Senior Notes following an Event of Default that causes an acceleration thereof, either by (i) payment in full of all amounts thereby due and payable under the Senior Notes or (ii) payment of a lesser amount that all Holders agree will be a complete satisfaction and discharge of the obligations of Enron in respect of the Senior Notes; or (b) the final adjudication or settlement of all claims in respect of the Senior Notes following a bankruptcy, or reorganization or similar proceeding of Enron.</w:t>
      </w:r>
    </w:p>
    <w:p>
      <w:pPr>
        <w:pStyle w:val="BodyText"/>
        <w:rPr>
          <w:lang w:eastAsia="en-US"/>
        </w:rPr>
      </w:pPr>
      <w:r>
        <w:rPr>
          <w:lang w:eastAsia="en-US"/>
        </w:rPr>
        <w:t>The Trust will terminate upon the completion of the Final Distribution to the Holders.</w:t>
      </w:r>
    </w:p>
    <w:p>
      <w:pPr>
        <w:pStyle w:val="Heading2"/>
        <w:ind w:hanging="0" w:start="0"/>
        <w:rPr/>
      </w:pPr>
      <w:r>
        <w:rPr/>
        <w:t>Book-Entry Issuance</w:t>
      </w:r>
    </w:p>
    <w:p>
      <w:pPr>
        <w:pStyle w:val="Heading3"/>
        <w:rPr/>
      </w:pPr>
      <w:r>
        <w:rPr/>
        <w:t>General</w:t>
      </w:r>
    </w:p>
    <w:p>
      <w:pPr>
        <w:pStyle w:val="BodyText"/>
        <w:rPr>
          <w:lang w:eastAsia="en-US"/>
        </w:rPr>
      </w:pPr>
      <w:r>
        <w:rPr>
          <w:lang w:eastAsia="en-US"/>
        </w:rPr>
        <w:t>The Certificates initially will be issued by the Trust in fully registered book-entry form and be represented by two global certificates (the “Rule 144A Global Certificate” and the “Regulation S Global Certificate” and together the “Global Certificates”). The Global Certificates will be deposited with, or on behalf of, DTC and initially registered in the name of Cede &amp; Co., as nominee for DTC.</w:t>
      </w:r>
    </w:p>
    <w:p>
      <w:pPr>
        <w:pStyle w:val="BodyText"/>
        <w:rPr>
          <w:lang w:eastAsia="en-US"/>
        </w:rPr>
      </w:pPr>
      <w:r>
        <w:rPr>
          <w:lang w:eastAsia="en-US"/>
        </w:rPr>
        <w:t>Except as set forth below, the Global Certificates may be transferred, in whole and not in part, only to another nominee of DTC or to a successor of DTC or its nominee. Beneficial interests in the Global Certificates may not be exchanged for Definitive Certificates (as defined herein) except in the limited circumstances described below. See “—Exchange of Global Certificates for Definitive Certificates.”</w:t>
      </w:r>
    </w:p>
    <w:p>
      <w:pPr>
        <w:pStyle w:val="BodyText"/>
        <w:rPr>
          <w:lang w:eastAsia="en-US"/>
        </w:rPr>
      </w:pPr>
      <w:r>
        <w:rPr>
          <w:lang w:eastAsia="en-US"/>
        </w:rPr>
        <w:t>The Certificates in which interests are sold in their initial distribution to QIBs in reliance on Rule 144A will be issued in the form of the Rule 144A Global Certificate, and the Certificates in which interests are sold in their initial distribution to Regulation S Purchasers in compliance with Regulation S will be issued in the form of the Regulation S Global Certificate, and, in each case, the Certificates will be subject to certain restrictions on transfer and will bear a restrictive legend as described under “Notice to Investors.” In addition, transfers of beneficial interests in the Global Certificates will be subject to the applicable rules and procedures of DTC and its direct or indirect participants, which may change from time to time.</w:t>
      </w:r>
    </w:p>
    <w:p>
      <w:pPr>
        <w:pStyle w:val="BodyText"/>
        <w:rPr>
          <w:lang w:eastAsia="en-US"/>
        </w:rPr>
      </w:pPr>
      <w:r>
        <w:rPr>
          <w:lang w:eastAsia="en-US"/>
        </w:rPr>
        <w:t>DTC has advised Enron that DTC is a limited-purpose trust company created to hold securities for its participating organizations (“Participants”) and to facilitate the clearance and settlement of transactions in those securities between Participants through electronic book-entry changes in accounts of its Participants.  The Participants include securities brokers and dealers (including the Initial Purchaser), banks, trust companies, clearing corporations and certain other organizations. Access to DTC’s system is also available to other entities such as banks, brokers, dealers and trust companies that clear through or maintain a custodial relationship with a Participant, either directly or indirectly (“Indirect Participants”). Persons who are not Participants may beneficially own securities held by or on behalf of DTC only through Participants or Indirect Participants. The ownership interest and transfer of ownership interest of each actual purchaser of each security held by or on behalf of DTC are recorded on the records of Participants and Indirect Participants.</w:t>
      </w:r>
    </w:p>
    <w:p>
      <w:pPr>
        <w:pStyle w:val="BodyText"/>
        <w:rPr>
          <w:lang w:eastAsia="en-US"/>
        </w:rPr>
      </w:pPr>
      <w:r>
        <w:rPr>
          <w:lang w:eastAsia="en-US"/>
        </w:rPr>
        <w:t>DTC has also advised Enron that pursuant to procedures established by it, (i) upon deposit of the Global Certificates, DTC will credit the accounts of Participants designated by the Initial Purchaser with portions of the principal amount of the Global Certificates and (ii) ownership of such interests in the Global Certificates will be shown on, and the transfer of ownership thereof will be effected only through, records maintained by DTC (with respect to Participants) or by Participants and Indirect Participants (with respect to other owners of beneficial interests in the Global Certificates).</w:t>
      </w:r>
    </w:p>
    <w:p>
      <w:pPr>
        <w:pStyle w:val="BodyText"/>
        <w:rPr>
          <w:lang w:eastAsia="en-US"/>
        </w:rPr>
      </w:pPr>
      <w:r>
        <w:rPr>
          <w:lang w:eastAsia="en-US"/>
        </w:rPr>
        <w:t>Investors in the Global Certificates may hold their interests therein directly through DTC, if they are Participants in such system, or indirectly through organizations that are Participants in such system.</w:t>
      </w:r>
    </w:p>
    <w:p>
      <w:pPr>
        <w:pStyle w:val="BodyText"/>
        <w:rPr>
          <w:lang w:eastAsia="en-US"/>
        </w:rPr>
      </w:pPr>
      <w:r>
        <w:rPr>
          <w:lang w:eastAsia="en-US"/>
        </w:rPr>
        <w:t>The laws of some states require that certain persons take physical delivery in definitive form of securities that they own. Consequently, the ability to transfer beneficial interests in the Global Certificates to such persons may be limited to that extent. Because DTC can act only on behalf of Participants, which in turn act on behalf of Indirect Participants and certain banks, the ability of a person having beneficial interests in the Global Certificates to pledge such interests to persons or entities that do not participate in the DTC system or have relationships with Participants, or otherwise take actions in respect of such interests, may be affected by the lack of a physical certificate evidencing such interests. For certain other restrictions on the transferability of the Certificates, see “—Exchange of Global Certificates for Definitive Certificates.”</w:t>
      </w:r>
    </w:p>
    <w:p>
      <w:pPr>
        <w:pStyle w:val="BodyText"/>
        <w:rPr>
          <w:lang w:eastAsia="en-US"/>
        </w:rPr>
      </w:pPr>
      <w:r>
        <w:rPr>
          <w:lang w:eastAsia="en-US"/>
        </w:rPr>
        <w:t>Except as described below, owners of interests in the Global Certificates will not have Certificates registered in their names, will not receive physical delivery of Certificates in certificated form and will not be considered the registered owners or holders thereof under the Trust Agreement for any purpose.</w:t>
      </w:r>
    </w:p>
    <w:p>
      <w:pPr>
        <w:pStyle w:val="Heading3"/>
        <w:rPr/>
      </w:pPr>
      <w:r>
        <w:rPr/>
        <w:t>Payment on Certificates</w:t>
      </w:r>
    </w:p>
    <w:p>
      <w:pPr>
        <w:pStyle w:val="BodyText"/>
        <w:rPr>
          <w:lang w:eastAsia="en-US"/>
        </w:rPr>
      </w:pPr>
      <w:r>
        <w:rPr>
          <w:lang w:eastAsia="en-US"/>
        </w:rPr>
        <w:t>Payments in respect of the principal of and interest on the Global Certificates registered in the name of DTC or its nominee will be payable to DTC or its nominee in its capacity as the registered holder under the Trust Agreement. Under the terms of the Trust Agreement, Enron and the Trust will treat the persons in whose names the Certificates, including the Global Certificates, are registered as the owners thereof for the purpose of receiving such payments and for any and all other purposes whatsoever. Consequently, none of Enron, the Trust nor any agent of Enron or the Trust has or will have any responsibility or liability for (a) any aspect of DTC’s records or any Participant’s or Indirect Participant’s records relating to or payments made on account of beneficial ownership interests in the Global Certificates, or for maintaining, supervising or reviewing any of DTC’s records or any Participant’s or Indirect Participant’s records relating to the beneficial ownership interests in the Global Certificates or (b) any other matter relating to the actions and practices of DTC or any of its Participants or Indirect Participants.</w:t>
      </w:r>
    </w:p>
    <w:p>
      <w:pPr>
        <w:pStyle w:val="BodyText"/>
        <w:rPr>
          <w:lang w:eastAsia="en-US"/>
        </w:rPr>
      </w:pPr>
      <w:r>
        <w:rPr>
          <w:lang w:eastAsia="en-US"/>
        </w:rPr>
        <w:t>DTC has advised Enron that its current practice, upon receipt of any payment in respect of securities such as the Certificates (including principal and interest), is to credit the accounts of the relevant Participants with the payment on the payment date, in amounts proportionate to their respective holdings in principal amount of beneficial interests in the relevant security, such as the Global Certificates, as shown on the records of DTC, unless DTC has reason to believe it will not receive payment on such payment date. Payments by Participants and Indirect Participants to the beneficial owners of Certificates will be governed by standing instructions and customary practices and will not be the responsibility of DTC, the Trust or Enron. Neither Enron nor the Trust will be liable for any delay by DTC or any of its Participants or Indirect Participants in identifying the beneficial owners of Certificates, and Enron and the Trust may conclusively rely on and will be protected in relying on instructions from DTC or its nominee as the registered owner of the Certificates for all purposes.</w:t>
      </w:r>
    </w:p>
    <w:p>
      <w:pPr>
        <w:pStyle w:val="BodyText"/>
        <w:rPr>
          <w:lang w:eastAsia="en-US"/>
        </w:rPr>
      </w:pPr>
      <w:r>
        <w:rPr>
          <w:lang w:eastAsia="en-US"/>
        </w:rPr>
        <w:t>Except for trades involving only the Euroclear System (“Euroclear”) and Clearstream Banking, société anonyme (“Clearstream”) participants, interests in the Global Certificates will trade in DTC’s Same-Day Funds Settlement System, and secondary market trading activity in such interests will therefore settle in immediately available funds, subject in all cases to the rules and procedures of DTC and its Participants and Indirect Participants. Transfers between Participants in DTC will be effected in accordance with DTC’s procedures, and will be settled in same-day funds.</w:t>
      </w:r>
    </w:p>
    <w:p>
      <w:pPr>
        <w:pStyle w:val="BodyText"/>
        <w:rPr>
          <w:lang w:eastAsia="en-US"/>
        </w:rPr>
      </w:pPr>
      <w:r>
        <w:rPr>
          <w:lang w:eastAsia="en-US"/>
        </w:rPr>
        <w:t>Subject to compliance with the transfer restrictions applicable to the Certificates described herein, cross-market transfers between Participants in DTC, on the one hand, and Euroclear or Clearstream participants, on the other hand, will be effected through DTC in accordance with DTC’s rules on behalf of Euroclear or Clearstream, as the case may be, by its respective depositary; however, such cross-market transactions will require delivery of instructions to Euroclear or Clearstream, as the case may be, by the counterparty in such system in accordance with the rules and procedures, and within the established deadlines (Brussels time), of such system. Euroclear or Clearstream, as the case may be, will, if the transaction meets its settlement requirements, deliver instructions to its respective depositary to take action to effect final settlement on its behalf by delivering or receiving interests in the Global Certificates in DTC, and making or receiving payments in accordance with normal procedures for same-day funds settlement applicable to DTC. Euroclear participants and Clearstream participants may not deliver instructions directly to the depositaries for Euroclear or Clearstream.</w:t>
      </w:r>
    </w:p>
    <w:p>
      <w:pPr>
        <w:pStyle w:val="Heading3"/>
        <w:rPr/>
      </w:pPr>
      <w:r>
        <w:rPr/>
        <w:t>Denomination of Payments and Exchange Rate Agency Agreement</w:t>
      </w:r>
    </w:p>
    <w:p>
      <w:pPr>
        <w:pStyle w:val="BodyText"/>
        <w:rPr>
          <w:lang w:eastAsia="en-US"/>
        </w:rPr>
      </w:pPr>
      <w:r>
        <w:rPr>
          <w:lang w:eastAsia="en-US"/>
        </w:rPr>
        <w:t>So long as a Swap Termination Event has not occurred, or after a Swap Termination Event has occurred as a result of a Conversion Event, distributions in respect of the Certificates will be payable in US Dollars. Upon the occurrence of a Swap Termination Event other than as a result of a Conversion Event, all distributions in respect of the Certificates subsequent to such Swap Termination Event (other than any unpaid Dollar Swap Payment or other unpaid US Dollar amount under the Currency Swap) will be payable in the £ Sterling received by the Trust in respect of payments of principal of and interest on the Senior Notes.</w:t>
      </w:r>
    </w:p>
    <w:p>
      <w:pPr>
        <w:pStyle w:val="BodyText"/>
        <w:rPr>
          <w:lang w:eastAsia="en-US"/>
        </w:rPr>
      </w:pPr>
      <w:r>
        <w:rPr>
          <w:lang w:eastAsia="en-US"/>
        </w:rPr>
        <w:t>Upon the occurrence of a Swap Termination Event (other than as a result of a Conversion Event), DTC would be unable to accept the payments denominated in £ Sterling in respect of the Certificates. Accordingly, Participants that own beneficial interests in the Global Certificates would be required, if they wished to receive payments in respect of the Certificates in £ Sterling, in accordance with DTC’s procedures, to notify DTC (within the time periods specified in DTC’s procedures for such purposes) prior to each Distribution Date (a) that they wished to be paid in £ Sterling and (b) of the relevant information with respect to the bank account into which such £ Sterling payments should be made. In addition, the Trust will agree to enter into an Exchange Rate Agency Agreement with The Bank of New York acting as the Exchange Rate Agent promptly upon the occurrence of any event that, with the passage of time or the giving of notice or both, would constitute such a Swap Termination Event. If the above-referenced notice is not received, the Exchange Rate Agent would exchange the relevant £ Sterling amounts into US Dollars at the exchange rate that would result in the greatest amount of US Dollars being delivered in exchange for such £ Sterling amounts quoted by three foreign exchange dealers (which may include the Exchange Rate Agent) in London chosen by the Exchange Rate Agent and approved by the Trust, and the relevant Participants holding beneficial interests in the Global Certificates would receive the US Dollar equivalent of such £ Sterling amounts converted at such exchange rate (net of any applicable currency exchange and wire transfer costs). The Exchange Rate Agent will agree to provide information regarding the exchange rate (and any currency exchange, wire transfer or other costs paid) with respect to any £ Sterling amount converted into US Dollars upon written request by a Participant owning beneficial interests in the Global Certificates. If no bid quotations are provided to the Exchange Rate Agent pursuant to the Exchange Rate Agency Agreement on or prior to the due date for any payment, the Trust will make all payments due on such date in respect of the Global Certificates in £ Sterling directly to the Participants.</w:t>
      </w:r>
    </w:p>
    <w:p>
      <w:pPr>
        <w:pStyle w:val="Heading3"/>
        <w:rPr/>
      </w:pPr>
      <w:r>
        <w:rPr/>
        <w:t>Miscellaneous</w:t>
      </w:r>
    </w:p>
    <w:p>
      <w:pPr>
        <w:pStyle w:val="BodyText"/>
        <w:rPr>
          <w:lang w:eastAsia="en-US"/>
        </w:rPr>
      </w:pPr>
      <w:r>
        <w:rPr>
          <w:lang w:eastAsia="en-US"/>
        </w:rPr>
        <w:t>DTC has advised Enron that it will take any action permitted to be taken by a holder of Certificate only at the direction of one or more Participants to whose accounts with DTC interests in the Global Certificates are credited and only in respect of such portion of the aggregate principal amount of the Certificates as to which such Participant or Participants has or have given such direction.</w:t>
      </w:r>
    </w:p>
    <w:p>
      <w:pPr>
        <w:pStyle w:val="BodyText"/>
        <w:rPr>
          <w:lang w:eastAsia="en-US"/>
        </w:rPr>
      </w:pPr>
      <w:r>
        <w:rPr>
          <w:lang w:eastAsia="en-US"/>
        </w:rPr>
        <w:t>The information in this section concerning DTC and its book-entry system has been obtained from sources that Enron believes to be reliable, but Enron takes no responsibility for the accuracy thereof.</w:t>
      </w:r>
    </w:p>
    <w:p>
      <w:pPr>
        <w:pStyle w:val="BodyText"/>
        <w:rPr>
          <w:lang w:eastAsia="en-US"/>
        </w:rPr>
      </w:pPr>
      <w:r>
        <w:rPr>
          <w:lang w:eastAsia="en-US"/>
        </w:rPr>
        <w:t>Although DTC has agreed to the foregoing procedures to facilitate transfers of interests in the Global Certificates among Participants in DTC, it is under no obligation to perform or to continue to perform such procedures, and such procedures may be discontinued at any time. Neither Enron nor the Trust will have any responsibility for the performance by DTC or its respective Participants or Indirect Participants of their respective obligations under the rules and procedures governing their operations.</w:t>
      </w:r>
    </w:p>
    <w:p>
      <w:pPr>
        <w:pStyle w:val="Heading2"/>
        <w:ind w:hanging="0" w:start="0"/>
        <w:rPr/>
      </w:pPr>
      <w:r>
        <w:rPr/>
        <w:t>Exchange of Global Certificates for Definitive Certificates</w:t>
      </w:r>
    </w:p>
    <w:p>
      <w:pPr>
        <w:pStyle w:val="BodyText"/>
        <w:rPr>
          <w:lang w:eastAsia="en-US"/>
        </w:rPr>
      </w:pPr>
      <w:r>
        <w:rPr>
          <w:lang w:eastAsia="en-US"/>
        </w:rPr>
        <w:t>If DTC is at any time unwilling or unable to continue as depositary and a successor depositary is not appointed by Enron within 120 days, or if the holders of Certificates representing a majority of the aggregate Certificate Principal Balances so request, upon an Event of Default under the Indenture or a payment default by the Swap Counterparty under the Currency Swap or upon a Swap Termination Event, Enron will cause the Trust to issue individual, fully registered, definitive Certificates (“Definitive Certificates”) in exchange for the Global Certificates. Upon the exchange of the Global Certificates for Definitive Certificates, the Global Certificates will be cancelled by the Trust and Definitive Certificates will be registered in names of such persons and in such authorized denominations as DTC, pursuant to instructions from Participants, Indirect Participants or otherwise, instructs the Trust. The Trust will deliver such Definitive Certificates to such persons and will recognize the holders thereof as Holders.</w:t>
      </w:r>
    </w:p>
    <w:p>
      <w:pPr>
        <w:pStyle w:val="Heading2"/>
        <w:ind w:hanging="0" w:start="0"/>
        <w:rPr/>
      </w:pPr>
      <w:r>
        <w:rPr/>
        <w:t>Transfer Restrictions on Certificates</w:t>
      </w:r>
    </w:p>
    <w:p>
      <w:pPr>
        <w:pStyle w:val="BodyText"/>
        <w:rPr>
          <w:lang w:eastAsia="en-US"/>
        </w:rPr>
      </w:pPr>
      <w:r>
        <w:rPr>
          <w:lang w:eastAsia="en-US"/>
        </w:rPr>
        <w:t>No Holder may, in any transaction or series of transactions, directly or indirectly (each of the following, a “transfer”), (a) sell, assign or otherwise in any manner dispose of all or any part of its interest in any Certificate issued to it, whether by act, deed or otherwise, or (b) mortgage, pledge or create a lien or security interest in such beneficial interest, unless such transfer is made (i) to the Trust, (ii) pursuant to an effective registration statement under the Securities Act, (iii) for so long as the Certificates are eligible for resale pursuant to Rule 144A, to a person it reasonably believes is a QIB as defined in Rule 144A that purchases for its own account or for the account of a QIB and to whom notice is given that the transfer is being made in reliance on Rule 144A, (iv) pursuant to offers and sales to Regulation S Purchasers that occur outside the United States within the meaning of Regulation S or (v) pursuant to another available exemption from the registration requirements of the Securities Act.</w:t>
      </w:r>
    </w:p>
    <w:p>
      <w:pPr>
        <w:pStyle w:val="BodyText"/>
        <w:rPr/>
      </w:pPr>
      <w:r>
        <w:rPr>
          <w:lang w:eastAsia="en-US"/>
        </w:rPr>
        <w:t xml:space="preserve">The Trust Agreement provides that neither the Trust nor the Certificate registrar will be responsible for ascertaining whether any transfer complies with the registration provisions under or exemptions from the Securities Act or applicable state securities laws; </w:t>
      </w:r>
      <w:r>
        <w:rPr>
          <w:i/>
          <w:lang w:eastAsia="en-US"/>
        </w:rPr>
        <w:t>provided, however,</w:t>
      </w:r>
      <w:r>
        <w:rPr>
          <w:lang w:eastAsia="en-US"/>
        </w:rPr>
        <w:t xml:space="preserve"> that if a certificate is specifically required to be delivered to the Trust or the Certificate registrar by a purchaser or transferee of a Certificate, the Trust or the Certificate registrar will be under a duty to examine the same to determine whether or not it conforms to the requirements of the Trust Agreement and will promptly notify the party delivering the same if such certificate does not conform.</w:t>
      </w:r>
      <w:r>
        <w:br w:type="page"/>
      </w:r>
    </w:p>
    <w:p>
      <w:pPr>
        <w:pStyle w:val="Heading1"/>
        <w:ind w:hanging="0" w:start="0"/>
        <w:rPr/>
      </w:pPr>
      <w:r>
        <w:rPr/>
        <w:t>Description of the Trust Agreement</w:t>
      </w:r>
    </w:p>
    <w:p>
      <w:pPr>
        <w:pStyle w:val="BodyText"/>
        <w:rPr>
          <w:lang w:eastAsia="en-US"/>
        </w:rPr>
      </w:pPr>
      <w:r>
        <w:rPr>
          <w:lang w:eastAsia="en-US"/>
        </w:rPr>
        <w:t>The following summaries of certain provisions of the Trust Agreement do not purport to be complete and are subject, and are qualified in their entirety by reference, to all the provisions of the Trust Agreement.  Wherever defined terms of the Trust Agreement are referred to, such defined terms are incorporated herein by reference as part of the statement made, and the statement is qualified in its entirety by such reference.  The Trust Agreement will not be qualified as an indenture under the US Trust Indenture Act of 1939, as amended (the “1939 Act”). Copies of the Trust Agreement are available for inspection on a Business Day during normal business hours at the principal office of Enron and at the office of the Trust in the City of New York. Holders are entitled to the benefits of, are bound by, and are deemed to have notice of, all the provisions of the Trust Agreement. Whenever particular provisions or defined terms in the Trust Agreement are referred to herein, such provisions or defined terms are incorporated by reference herein.</w:t>
      </w:r>
    </w:p>
    <w:p>
      <w:pPr>
        <w:pStyle w:val="Heading2"/>
        <w:ind w:hanging="0" w:start="0"/>
        <w:rPr/>
      </w:pPr>
      <w:r>
        <w:rPr/>
        <w:t>General</w:t>
      </w:r>
    </w:p>
    <w:p>
      <w:pPr>
        <w:pStyle w:val="BodyText"/>
        <w:rPr>
          <w:lang w:eastAsia="en-US"/>
        </w:rPr>
      </w:pPr>
      <w:r>
        <w:rPr>
          <w:lang w:eastAsia="en-US"/>
        </w:rPr>
        <w:t>Under the Trust Agreement, the Trust will purchase the Senior Notes with the proceeds from the offering by the Trust of the Certificates (which proceeds will be exchanged by the Trust with the Swap Counterparty for £ Sterling) and the proceeds received by the Trust from the Callholder in consideration for the Call Option. The Trust Assets will consist solely of the Senior Notes and the rights of the Trust under the Currency Swap and the Call Option.</w:t>
      </w:r>
    </w:p>
    <w:p>
      <w:pPr>
        <w:pStyle w:val="BodyText"/>
        <w:rPr>
          <w:lang w:eastAsia="en-US"/>
        </w:rPr>
      </w:pPr>
      <w:r>
        <w:rPr>
          <w:lang w:eastAsia="en-US"/>
        </w:rPr>
        <w:t>The Trust will administer the Trust Assets for the benefit of the Holders. Except as provided in the Trust Agreement, the Trust will have full power and authority to do or cause to be done any and all things in connection with the administration of the Trust that it deems necessary to comply with the terms of the Trust Agreement.</w:t>
      </w:r>
    </w:p>
    <w:p>
      <w:pPr>
        <w:pStyle w:val="Heading2"/>
        <w:ind w:hanging="0" w:start="0"/>
        <w:rPr/>
      </w:pPr>
      <w:r>
        <w:rPr/>
        <w:t>Exercise of Early Redemption Right</w:t>
      </w:r>
    </w:p>
    <w:p>
      <w:pPr>
        <w:pStyle w:val="BodyText"/>
        <w:rPr>
          <w:lang w:eastAsia="en-US"/>
        </w:rPr>
      </w:pPr>
      <w:r>
        <w:rPr>
          <w:lang w:eastAsia="en-US"/>
        </w:rPr>
        <w:t>If the Callholder has not given notice to the Trust on or before May    , 2003 (the “Call Exercise Date”) that it intends to exercise the Call Option, or if the Callholder exercises the Call Option but fails to make payment in full thereon prior to the Final Distribution Date, the Trust will be required to exercise the Early Redemption Right on the Final Distribution Date. See “Description of the Senior Notes—Early Redemption Right” and “Description of the Call Option.”</w:t>
      </w:r>
    </w:p>
    <w:p>
      <w:pPr>
        <w:pStyle w:val="BodyText"/>
        <w:rPr>
          <w:lang w:eastAsia="en-US"/>
        </w:rPr>
      </w:pPr>
      <w:r>
        <w:rPr>
          <w:lang w:eastAsia="en-US"/>
        </w:rPr>
        <w:t>If the Early Redemption Right is exercised, on the Final Distribution Date all proceeds received by the Trust in £ Sterling upon such exercise will be required to be paid by the Trust to the Swap Counterparty and the Swap Counterparty will be required to pay to the Trust a US Dollar amount equal to the Certificate Principal Amount. Such amount, together with the Dollar Swap Payment required to be paid by the Swap Counterparty to the Trust on the Final Distribution Date, will then be distributed to the Holders to pay the principal of and interest on the Certificates on the Final Distribution Date.</w:t>
      </w:r>
    </w:p>
    <w:p>
      <w:pPr>
        <w:pStyle w:val="Heading2"/>
        <w:ind w:hanging="0" w:start="0"/>
        <w:rPr/>
      </w:pPr>
      <w:r>
        <w:rPr/>
        <w:t>Remedies under Trust Agreement</w:t>
      </w:r>
    </w:p>
    <w:p>
      <w:pPr>
        <w:pStyle w:val="BodyText"/>
        <w:rPr/>
      </w:pPr>
      <w:r>
        <w:rPr>
          <w:lang w:eastAsia="en-US"/>
        </w:rPr>
        <w:t xml:space="preserve">Following the occurrence of an Event of Default under the Indenture or a payment default by the Swap Counterparty under the Currency Swap or upon a Swap Termination Event, the Trust will, within five Business Days of obtaining knowledge thereof, mail a notice of such Event of Default, payment default or Swap Termination Event to each Holder of record as of the date the Trust obtained such knowledge. The Trust will request instructions from Holders as to what actions to take or remedies to exercise under the Indenture or the Currency Swap. These instructions may direct the Trust with respect to, in the case of a payment default by the Swap Counterparty under the Currency Swap, any unpaid Dollar Swap Payment or other US Dollar amount owing by the Swap Counterparty under the Currency Swap and, in the case of a Swap Termination Event (other than as a result of a Conversion Event), any claim against the Swap Counterparty for any termination payment (a “Swap Termination Payment”) and the use of the proceeds of such Swap Termination Payment. The Trust will take or cause to be taken such actions, or exercise or cause to be exercised such remedies, as are permitted under the Senior Notes or the Currency Swap and as Holders holding a majority of the Voting Rights (as defined herein) direct in writing; </w:t>
      </w:r>
      <w:r>
        <w:rPr>
          <w:i/>
          <w:lang w:eastAsia="en-US"/>
        </w:rPr>
        <w:t>provided, howeve</w:t>
      </w:r>
      <w:r>
        <w:rPr>
          <w:lang w:eastAsia="en-US"/>
        </w:rPr>
        <w:t xml:space="preserve">r, that Definitive Certificates representing 100% of the outstanding principal balance of the Certificates will be issued if any Definitive Certificates are issued as described under “Description of the Certificates—Exchange of Global Certificates for Definitive Certificates”; </w:t>
      </w:r>
      <w:r>
        <w:rPr>
          <w:i/>
          <w:lang w:eastAsia="en-US"/>
        </w:rPr>
        <w:t xml:space="preserve">provided, further, </w:t>
      </w:r>
      <w:r>
        <w:rPr>
          <w:lang w:eastAsia="en-US"/>
        </w:rPr>
        <w:t xml:space="preserve">that the Trust may not sell, liquidate or otherwise dispose of the Senior Notes other than in connection with a Trust Termination Event; and </w:t>
      </w:r>
      <w:r>
        <w:rPr>
          <w:i/>
          <w:lang w:eastAsia="en-US"/>
        </w:rPr>
        <w:t>provided, furthe</w:t>
      </w:r>
      <w:r>
        <w:rPr>
          <w:lang w:eastAsia="en-US"/>
        </w:rPr>
        <w:t>r, that the Trust will be under no obligation to take any action at the request, order or direction of Holders unless such Holders have offered the Trust reasonable security or indemnity. The Trust will have no liability for any failure to act resulting from the Holders’ late return of, or failure to return, directions requested by the Trust from the Holders.</w:t>
      </w:r>
    </w:p>
    <w:p>
      <w:pPr>
        <w:pStyle w:val="BodyText"/>
        <w:rPr/>
      </w:pPr>
      <w:r>
        <w:rPr>
          <w:lang w:eastAsia="en-US"/>
        </w:rPr>
        <w:t>No Holder will have the right to institute any proceeding with respect to the Trust Agreement, unless (a) such holder previously has given to the Trust written notice of a continuing breach of the Trust Agreement, (b) the holders of Certificates evidencing not less than 66</w:t>
      </w:r>
      <w:r>
        <w:rPr>
          <w:vertAlign w:val="superscript"/>
          <w:lang w:eastAsia="en-US"/>
        </w:rPr>
        <w:t>2</w:t>
      </w:r>
      <w:r>
        <w:rPr>
          <w:i/>
          <w:lang w:eastAsia="en-US"/>
        </w:rPr>
        <w:t>/</w:t>
      </w:r>
      <w:r>
        <w:rPr>
          <w:vertAlign w:val="subscript"/>
          <w:lang w:eastAsia="en-US"/>
        </w:rPr>
        <w:t>3</w:t>
      </w:r>
      <w:r>
        <w:rPr>
          <w:lang w:eastAsia="en-US"/>
        </w:rPr>
        <w:t>% of the aggregate Voting Rights have requested in writing that the Trust institute such proceeding in its own name, (c) such holder or holders have offered the Trust reasonable indemnity and (d) the Trust has for 15 days failed to institute such proceeding.</w:t>
      </w:r>
    </w:p>
    <w:p>
      <w:pPr>
        <w:pStyle w:val="Heading2"/>
        <w:ind w:hanging="0" w:start="0"/>
        <w:rPr/>
      </w:pPr>
      <w:r>
        <w:rPr/>
        <w:t>Voting Rights</w:t>
      </w:r>
    </w:p>
    <w:p>
      <w:pPr>
        <w:pStyle w:val="BodyText"/>
        <w:rPr>
          <w:lang w:eastAsia="en-US"/>
        </w:rPr>
      </w:pPr>
      <w:r>
        <w:rPr>
          <w:lang w:eastAsia="en-US"/>
        </w:rPr>
        <w:t>Each Holder will have the right to one vote for each $1,000 of the Certificate Principal Balance beneficially owned by such Holder (“Voting Rights”). The Trust Agreement contains minimum aggregate voting requirements for certain actions, including, among other things, actions to be taken by or remedies to be exercised by the Trust, removal of the Trustee, amendment of the Trust Agreement and modification of the Call Option or the Currency Swap. See “—Amendment.”</w:t>
      </w:r>
    </w:p>
    <w:p>
      <w:pPr>
        <w:pStyle w:val="Heading2"/>
        <w:ind w:hanging="0" w:start="0"/>
        <w:rPr/>
      </w:pPr>
      <w:r>
        <w:rPr/>
        <w:t>Voting of the Senior Notes</w:t>
      </w:r>
    </w:p>
    <w:p>
      <w:pPr>
        <w:pStyle w:val="BodyText"/>
        <w:rPr/>
      </w:pPr>
      <w:r>
        <w:rPr>
          <w:lang w:eastAsia="en-US"/>
        </w:rPr>
        <w:t xml:space="preserve">The Trust as the holder of the Senior Notes has the right to vote and give consents and waivers in respect of the Senior Notes and to enforce the other rights of a holder of the Senior Notes except as otherwise limited by the Trust Agreement. In the event that the Trust receives a request for the Trust’s consent to any amendment, modification or waiver of the terms of the Senior Notes or any document thereunder or relating thereto, or receives any other solicitation for any action with respect to the Senior Notes, the Trust will within five Business Days mail a notice of such proposed amendment, modification, waiver or solicitation to each Holder of record as of the date of such request. The Trust will request instructions from the Holders as to what action to take in response to such request. Except as otherwise provided in the Trust Agreement, the Trust will consent or vote, or refrain from consenting or voting, in the same proportion (based on the respective beneficial interests in Certificate Principal Balances) as the Certificates of the Trust were actually voted or not voted by the Holders as of the date determined by the Trust prior to the date such vote or consent is required; </w:t>
      </w:r>
      <w:r>
        <w:rPr>
          <w:i/>
          <w:lang w:eastAsia="en-US"/>
        </w:rPr>
        <w:t>provided, howeve</w:t>
      </w:r>
      <w:r>
        <w:rPr>
          <w:lang w:eastAsia="en-US"/>
        </w:rPr>
        <w:t>r, that, the Trust will at no time vote in favor of or consent to any matter (a) unless such vote or consent would not, based on an opinion of counsel of Enron, affect the status of the Trust as a grantor trust for US federal income tax purposes, (b) that would alter the amount of any payment on the Senior Notes, other than in connection with a Trust Termination Event, or (c) that would result in the exchange or substitution of any Senior Notes (except in an Event of Default) pursuant to a plan for the refunding or refinancing of such Senior Notes or that would otherwise result in a sale or exchange of Certificates for US federal income tax purposes, other than in connection with a Trust Termination Event. The Trust will have no liability for any failure to act resulting from the Holders’ late return of, or failure to return, directions requested by the Trust from the Holders.</w:t>
      </w:r>
    </w:p>
    <w:p>
      <w:pPr>
        <w:pStyle w:val="Heading2"/>
        <w:ind w:hanging="0" w:start="0"/>
        <w:rPr/>
      </w:pPr>
      <w:r>
        <w:rPr/>
        <w:t>Amendment</w:t>
      </w:r>
    </w:p>
    <w:p>
      <w:pPr>
        <w:pStyle w:val="BodyText"/>
        <w:rPr>
          <w:lang w:eastAsia="en-US"/>
        </w:rPr>
      </w:pPr>
      <w:r>
        <w:rPr>
          <w:lang w:eastAsia="en-US"/>
        </w:rPr>
        <w:t>The Trust Agreement may be modified or amended from time to time by Enron and the Trust without notice to or the consent of any of the Holders for any of the following purposes: (i) to cure any ambiguity or to correct or supplement any provision that may be defective or inconsistent with any other provision in the Trust Agreement, the Currency Swap or the Call Option; (ii) to add any security interest for the benefit of any Holders; (iii) to add to the covenants, restrictions or obligations of Enron or the Trust for the benefit of the Holders; (iv) to add, change or eliminate any other provisions with respect to matters or questions arising under the Trust Agreement, so long as (x) any such amendment described in clauses (i) through (iv) will not, as evidenced by an opinion of counsel to Enron, affect the status of the Trust as a grantor trust for US federal income tax purposes or result in a sale or exchange of any Certificate for US federal income tax purposes and (y) the Trust has received written confirmation from each of the rating agencies that is then rating such Certificates that such amendment will not cause such rating agency to reduce, withdraw or qualify its then current rating thereof; (v) to comply with any requirements imposed by the Code; or (vi) to evidence and provide for the acceptance of appointment of a successor Trustee or to add to or change any of the provisions of the Trust Agreement as may be necessary to provide for or facilitate the administration of the Trust. The Trust is entitled to receive, and may rely on, an opinion of counsel with respect to any such modification or amendment.</w:t>
      </w:r>
    </w:p>
    <w:p>
      <w:pPr>
        <w:pStyle w:val="BodyText"/>
        <w:rPr/>
      </w:pPr>
      <w:r>
        <w:rPr>
          <w:lang w:eastAsia="en-US"/>
        </w:rPr>
        <w:t>The Trust Agreement may also be modified or amended from time to time by Enron and the Trust with the consent of Holders representing not less than 66</w:t>
      </w:r>
      <w:r>
        <w:rPr>
          <w:vertAlign w:val="superscript"/>
          <w:lang w:eastAsia="en-US"/>
        </w:rPr>
        <w:t>2</w:t>
      </w:r>
      <w:r>
        <w:rPr>
          <w:i/>
          <w:lang w:eastAsia="en-US"/>
        </w:rPr>
        <w:t>/</w:t>
      </w:r>
      <w:r>
        <w:rPr>
          <w:vertAlign w:val="subscript"/>
          <w:lang w:eastAsia="en-US"/>
        </w:rPr>
        <w:t>3</w:t>
      </w:r>
      <w:r>
        <w:rPr>
          <w:lang w:eastAsia="en-US"/>
        </w:rPr>
        <w:t xml:space="preserve">% of the aggregate Voting Rights for the purpose of adding any provisions, to or changing in any manner or eliminating any of the provisions of, the Trust Agreement or of modifying in any manner the rights of the Holders; </w:t>
      </w:r>
      <w:r>
        <w:rPr>
          <w:i/>
          <w:lang w:eastAsia="en-US"/>
        </w:rPr>
        <w:t>provided, howeve</w:t>
      </w:r>
      <w:r>
        <w:rPr>
          <w:lang w:eastAsia="en-US"/>
        </w:rPr>
        <w:t xml:space="preserve">r, that no such modification or amendment will without the consent of each affected Holder (a) reduce in any manner the amount of payments received on the Trust Assets or otherwise adversely affect in any material respect the interests of the Holders or (b) reduce the percentage of the aggregate Voting Rights required to modify or amend the Trust Agreement; and </w:t>
      </w:r>
      <w:r>
        <w:rPr>
          <w:i/>
          <w:lang w:eastAsia="en-US"/>
        </w:rPr>
        <w:t xml:space="preserve">provided, further, </w:t>
      </w:r>
      <w:r>
        <w:rPr>
          <w:lang w:eastAsia="en-US"/>
        </w:rPr>
        <w:t>that Enron will furnish to the Trust an opinion of counsel stating that, in the opinion of such counsel, any such amendment would not affect the status of the Trust as a grantor trust for US federal income tax purposes.</w:t>
      </w:r>
    </w:p>
    <w:p>
      <w:pPr>
        <w:pStyle w:val="BodyText"/>
        <w:rPr/>
      </w:pPr>
      <w:r>
        <w:rPr>
          <w:lang w:eastAsia="en-US"/>
        </w:rPr>
        <w:t xml:space="preserve">The Trust will not enter into any modification or amendment of the Trust Agreement that would (a) adversely affect in any material respect the interests of the Callholder in the Senior Notes without the consent of the Callholder or (b) alter the date on which the Call Option is exercisable or the amount payable as a result of the exercise of the Call Option without the consent of the Callholder; </w:t>
      </w:r>
      <w:r>
        <w:rPr>
          <w:i/>
          <w:lang w:eastAsia="en-US"/>
        </w:rPr>
        <w:t>provided, howeve</w:t>
      </w:r>
      <w:r>
        <w:rPr>
          <w:lang w:eastAsia="en-US"/>
        </w:rPr>
        <w:t>r, that the Trust will not enter into any such modification or amendment of the Trust Agreement unless such modification or amendment would not, based on an opinion of counsel to Enron, affect the status of the Trust as a grantor trust or result in a sale or exchange of any Certificates for US federal income tax purposes.</w:t>
      </w:r>
    </w:p>
    <w:p>
      <w:pPr>
        <w:pStyle w:val="Heading2"/>
        <w:ind w:hanging="0" w:start="0"/>
        <w:rPr/>
      </w:pPr>
      <w:r>
        <w:rPr/>
        <w:t>Reports to Enron and Holders</w:t>
      </w:r>
    </w:p>
    <w:p>
      <w:pPr>
        <w:pStyle w:val="BodyText"/>
        <w:rPr>
          <w:lang w:eastAsia="en-US"/>
        </w:rPr>
      </w:pPr>
      <w:r>
        <w:rPr>
          <w:lang w:eastAsia="en-US"/>
        </w:rPr>
        <w:t xml:space="preserve">On the Business Day following each Distribution Date, the Trust will forward or cause to be forwarded to Enron and each Holder a statement setting forth (a) the amount of the distribution on such Distribution Date to Holders allocable to principal of and interest on the Senior Notes and (b) the amount of aggregate unpaid interest on the Senior Notes accrued as of such Distribution Date. Within the prescribed period of time for tax reporting purposes after the end of each calendar year, the Trust will furnish, or cause to be furnished, to each person who at any time during such calendar year was a holder of record of Certificates and received any payment thereon, a statement containing such information as may be required by the Code and applicable US Treasury Department regulations to enable such Holder to prepare its US federal income tax returns, provided that such information shall be provided to the Trust by Enron. </w:t>
      </w:r>
    </w:p>
    <w:p>
      <w:pPr>
        <w:pStyle w:val="Heading2"/>
        <w:ind w:hanging="0" w:start="0"/>
        <w:rPr/>
      </w:pPr>
      <w:r>
        <w:rPr/>
        <w:t>Notices to Depositary</w:t>
      </w:r>
    </w:p>
    <w:p>
      <w:pPr>
        <w:pStyle w:val="BodyText"/>
        <w:rPr>
          <w:lang w:eastAsia="en-US"/>
        </w:rPr>
      </w:pPr>
      <w:r>
        <w:rPr>
          <w:lang w:eastAsia="en-US"/>
        </w:rPr>
        <w:t>Whenever a notice or other communication to the beneficial owners of the Certificates represented by Global Certificates is required under the Trust Agreement, unless and until Definitive Certificates have been issued to such owners pursuant to the Trust Agreement, the Trust will give all such notices and communications specified to be given to such owners to DTC or a successor depositary, and will have no obligation to such owners.</w:t>
      </w:r>
    </w:p>
    <w:p>
      <w:pPr>
        <w:pStyle w:val="Heading2"/>
        <w:ind w:hanging="0" w:start="0"/>
        <w:rPr/>
      </w:pPr>
      <w:r>
        <w:rPr/>
        <w:t>Expenses of the Trust</w:t>
      </w:r>
    </w:p>
    <w:p>
      <w:pPr>
        <w:pStyle w:val="BodyText"/>
        <w:rPr>
          <w:lang w:eastAsia="en-US"/>
        </w:rPr>
      </w:pPr>
      <w:r>
        <w:rPr>
          <w:lang w:eastAsia="en-US"/>
        </w:rPr>
        <w:t xml:space="preserve">Pursuant to the Trust Agreement, Enron will agree to pay to each person or entity to whom the Trust becomes indebted or liable the full amount, when and as due, of any indebtedness, expenses or liabilities of the Trust, other than under the Certificates, the Currency Swap or the Call Option. Under the Trust Agreement, the Trust agrees not to incur any such indebtedness, expenses or liabilities. </w:t>
      </w:r>
    </w:p>
    <w:p>
      <w:pPr>
        <w:pStyle w:val="BodyText"/>
        <w:rPr>
          <w:lang w:eastAsia="en-US"/>
        </w:rPr>
      </w:pPr>
      <w:r>
        <w:rPr>
          <w:lang w:eastAsia="en-US"/>
        </w:rPr>
        <w:t>Enron will indemnify and hold harmless the Trustee against any loss, liability or expense incurred by the Trustee in connection with any action relating to the Trust Agreement, the Certificates, the Call Option, the Currency Swap, the Early Redemption Right and the Purchase Agreement (as defined herein), the transactions contemplated thereby or the performance of the Trustee’s duties under the Trust Agreement, except to the extent that such loss, liability or expense (a) is due to willful misfeasance, bad faith or negligence of the Trustee or (b) relates to the payment obligations under the Certificates, the Currency Swap or the Call Option.</w:t>
      </w:r>
    </w:p>
    <w:p>
      <w:pPr>
        <w:pStyle w:val="Heading2"/>
        <w:ind w:hanging="0" w:start="0"/>
        <w:rPr/>
      </w:pPr>
      <w:r>
        <w:rPr/>
        <w:t>Trustee</w:t>
      </w:r>
    </w:p>
    <w:p>
      <w:pPr>
        <w:pStyle w:val="BodyText"/>
        <w:rPr>
          <w:lang w:eastAsia="en-US"/>
        </w:rPr>
      </w:pPr>
      <w:r>
        <w:rPr>
          <w:lang w:eastAsia="en-US"/>
        </w:rPr>
        <w:t>The Bank of New York will act as trustee for the Certificates and the Trust pursuant to the Trust Agreement. The Trustee’s offices are located at 101 Barclay Street, New York, New York 10286.</w:t>
      </w:r>
      <w:r>
        <w:br w:type="page"/>
      </w:r>
    </w:p>
    <w:p>
      <w:pPr>
        <w:pStyle w:val="Heading1"/>
        <w:ind w:hanging="0" w:start="0"/>
        <w:rPr/>
      </w:pPr>
      <w:r>
        <w:rPr/>
        <w:t>Description of the Senior Notes</w:t>
      </w:r>
    </w:p>
    <w:p>
      <w:pPr>
        <w:pStyle w:val="BodyText"/>
        <w:rPr/>
      </w:pPr>
      <w:r>
        <w:rPr>
          <w:lang w:eastAsia="en-US"/>
        </w:rPr>
        <w:t>The Senior Notes will be issued as a series of debt securities (the “Indenture Securities”) under and governed by an Indenture</w:t>
      </w:r>
      <w:r>
        <w:rPr/>
        <w:t xml:space="preserve"> dated as of November 1, 1985, as supplemented by an indenture supplemental thereto (collectively, the “Indenture”), between Enron and The Bank of New York (successor to Harris Trust and Savings Bank), as trustee (the “Indenture Trustee”)</w:t>
      </w:r>
      <w:r>
        <w:rPr>
          <w:lang w:eastAsia="en-US"/>
        </w:rPr>
        <w:t>. The following summaries of certain provisions of the Indenture do not purport to be complete and are subject to, and are qualified in their entirety by reference to, all the provisions of the Indenture. The Indenture has been qualified under the 1939 Act. The terms of the Senior Notes will include those stated in the Indenture. Copies of the Indenture are available for inspection on any Business Day during normal business hours at the principal office of Enron and at the office of the Indenture Trustee in the City of New York. The Holders are entitled to the benefits of, are bound by, and are deemed to have notice of, all the provisions of the Indenture. Whenever particular provisions or defined terms in the Indenture are referred to herein, such provisions or defined terms are incorporated by reference herein.</w:t>
      </w:r>
    </w:p>
    <w:p>
      <w:pPr>
        <w:pStyle w:val="Heading2"/>
        <w:ind w:hanging="0" w:start="0"/>
        <w:rPr/>
      </w:pPr>
      <w:r>
        <w:rPr/>
        <w:t>General</w:t>
      </w:r>
    </w:p>
    <w:p>
      <w:pPr>
        <w:pStyle w:val="BodyText"/>
        <w:rPr>
          <w:lang w:eastAsia="en-US"/>
        </w:rPr>
      </w:pPr>
      <w:r>
        <w:rPr>
          <w:lang w:eastAsia="en-US"/>
        </w:rPr>
        <w:t>The entire principal amount of the Senior Notes will mature and become due and payable, together with accrued and unpaid interest thereon, on June 15, 2028. The Senior Notes are not subject to a sinking fund provision.</w:t>
      </w:r>
    </w:p>
    <w:p>
      <w:pPr>
        <w:pStyle w:val="Heading3"/>
        <w:ind w:start="0" w:end="0"/>
        <w:rPr>
          <w:b/>
          <w:i w:val="false"/>
          <w:i w:val="false"/>
        </w:rPr>
      </w:pPr>
      <w:r>
        <w:rPr>
          <w:b/>
          <w:i w:val="false"/>
        </w:rPr>
        <w:t>Ranking; Holding Company Structure</w:t>
      </w:r>
    </w:p>
    <w:p>
      <w:pPr>
        <w:pStyle w:val="BodyText"/>
        <w:rPr/>
      </w:pPr>
      <w:r>
        <w:rPr/>
        <w:t>The Senior Notes will be a direct, unsecured and unsubordinated obligation of Enron and will rank pari passu with all other direct, unsecured and unsubordinated obligations of Enron (other than those obligations preferred by law). At March 31, 2000, Enron’s consolidated unsecured and unsubordinated debt outstanding was $___ billion, a portion of which will be repaid from the net proceeds of the issuance of the Senior Notes. The Indenture contains no restrictions on the amount of additional indebtedness that may be incurred by Enron and its subsidiaries; however, the Indenture contains restrictions that may limit the ability of Enron and its wholly-owned subsidiaries to secure such indebtedness. See “</w:t>
      </w:r>
      <w:r>
        <w:rPr>
          <w:lang w:eastAsia="en-US"/>
        </w:rPr>
        <w:t>—</w:t>
      </w:r>
      <w:r>
        <w:rPr/>
        <w:t>C</w:t>
      </w:r>
      <w:r>
        <w:rPr>
          <w:lang w:eastAsia="en-US"/>
        </w:rPr>
        <w:t>ovenants—</w:t>
      </w:r>
      <w:r>
        <w:rPr/>
        <w:t>Limitation on Mortgages and Liens.”</w:t>
      </w:r>
    </w:p>
    <w:p>
      <w:pPr>
        <w:pStyle w:val="Heading3"/>
        <w:ind w:firstLine="720" w:start="0" w:end="0"/>
        <w:rPr>
          <w:i w:val="false"/>
          <w:i w:val="false"/>
        </w:rPr>
      </w:pPr>
      <w:r>
        <w:rPr>
          <w:i w:val="false"/>
        </w:rPr>
        <w:t>Substantially all of Enron’s business is conducted through its subsidiaries and affiliates. As a result, the rights of a holder of the Senior Notes (including the Trust), in respect of claims on the assets of such subsidiaries and affiliates upon any liquidation or administration thereof, will be subject to the prior claims of the creditors of such subsidiaries and affiliates (including trade creditors), except to the extent that Enron may itself be a creditor with recognized claims against such subsidiaries and affiliates. At March 31, 2000, Enron’s consolidated debt attributable to such subsidiaries and affiliates was $___ billion.</w:t>
      </w:r>
    </w:p>
    <w:p>
      <w:pPr>
        <w:pStyle w:val="Heading2"/>
        <w:ind w:hanging="0" w:start="0"/>
        <w:rPr/>
      </w:pPr>
      <w:r>
        <w:rPr/>
        <w:t>Interest</w:t>
      </w:r>
    </w:p>
    <w:p>
      <w:pPr>
        <w:pStyle w:val="BodyText"/>
        <w:rPr/>
      </w:pPr>
      <w:r>
        <w:rPr>
          <w:lang w:eastAsia="en-US"/>
        </w:rPr>
        <w:t>The Senior Notes will bear interest at the rate of     % per annum through the Final Distribution Date (c</w:t>
      </w:r>
      <w:r>
        <w:rPr/>
        <w:t>alculated on the basis of a 360-day year, consisting  of twelve 30-day months)</w:t>
      </w:r>
      <w:r>
        <w:rPr>
          <w:lang w:eastAsia="en-US"/>
        </w:rPr>
        <w:t xml:space="preserve">; </w:t>
      </w:r>
      <w:r>
        <w:rPr>
          <w:i/>
          <w:lang w:eastAsia="en-US"/>
        </w:rPr>
        <w:t xml:space="preserve">provided, however, </w:t>
      </w:r>
      <w:r>
        <w:rPr>
          <w:lang w:eastAsia="en-US"/>
        </w:rPr>
        <w:t>that upon the occurrence of a Conversion Event, the Senior Notes will automatically convert to US Dollar-denominated obligations in an aggregate principal amount equal to the Certificate Principal Amount with an annual interest rate of     %, effective from the Interest Payment Date immediately preceding the occurrence of such Conversion Event.</w:t>
      </w:r>
    </w:p>
    <w:p>
      <w:pPr>
        <w:pStyle w:val="defs"/>
        <w:ind w:firstLine="720" w:start="0" w:end="0"/>
        <w:rPr/>
      </w:pPr>
      <w:r>
        <w:rPr/>
        <w:t xml:space="preserve">Interest on the Senior Notes through the Final Distribution Date will be payable semi-annually on June 15  and December 15  of each year, commencing December 15, 2000 (each, an “Interest Payment Date”); </w:t>
      </w:r>
      <w:r>
        <w:rPr>
          <w:i/>
        </w:rPr>
        <w:t>provided, however,</w:t>
      </w:r>
      <w:r>
        <w:rPr/>
        <w:t xml:space="preserve"> that if any such Interest Payment Date is not a Business Day, then the payment of such interest will be made on the next succeeding Business Day and no additional interest or other payment will be made in respect of such delay. Interest on the Senior Notes will be calculated on the basis of a 360-day year, consisting of twelve 30-day months. </w:t>
      </w:r>
    </w:p>
    <w:p>
      <w:pPr>
        <w:pStyle w:val="Heading2"/>
        <w:ind w:hanging="0" w:start="0"/>
        <w:rPr/>
      </w:pPr>
      <w:r>
        <w:rPr/>
        <w:t>Principal Amount and Denomination</w:t>
      </w:r>
    </w:p>
    <w:p>
      <w:pPr>
        <w:pStyle w:val="BodyText"/>
        <w:rPr>
          <w:lang w:eastAsia="en-US"/>
        </w:rPr>
      </w:pPr>
      <w:r>
        <w:rPr>
          <w:lang w:eastAsia="en-US"/>
        </w:rPr>
        <w:t>At the Senior Note Issue Date, the Senior Notes will have an aggregate principal amount of £           and will be denominated in £ Sterling. Upon the occurrence of a Conversion Event, the Senior Notes will automatically convert to US Dollar-denominated obligations in an aggregate principal amount equal to the Certificate Principal Amount, effective from the Interest Payment Date immediately preceding the occurrence of such Conversion Event.</w:t>
      </w:r>
    </w:p>
    <w:p>
      <w:pPr>
        <w:pStyle w:val="Heading2"/>
        <w:ind w:hanging="0" w:start="0"/>
        <w:rPr/>
      </w:pPr>
      <w:r>
        <w:rPr/>
        <w:t>Early Redemption Right</w:t>
      </w:r>
    </w:p>
    <w:p>
      <w:pPr>
        <w:pStyle w:val="BodyText"/>
        <w:rPr>
          <w:lang w:eastAsia="en-US"/>
        </w:rPr>
      </w:pPr>
      <w:r>
        <w:rPr>
          <w:lang w:eastAsia="en-US"/>
        </w:rPr>
        <w:t>If the Callholder has not given the Trust notice on or before the Call Exercise Date that it intends to exercise the Call Option or if the Callholder fails to make payment of the Call Price prior to the Final Distribution Date, the Trust will have the right to require that Enron redeem all but not less than all of the Senior Notes (the “Early Redemption Right”) on the Final Distribution Date at a redemption price payable in £ Sterling equal to 100% of the principal amount thereof. Under the Trust Agreement, the Trust will be required to exercise the Early Redemption Right in such event. See “Description of the Trust Agreement—Exercise of Early Redemption Right.”</w:t>
      </w:r>
    </w:p>
    <w:p>
      <w:pPr>
        <w:pStyle w:val="BodyText"/>
        <w:rPr>
          <w:lang w:eastAsia="en-US"/>
        </w:rPr>
      </w:pPr>
      <w:r>
        <w:rPr>
          <w:lang w:eastAsia="en-US"/>
        </w:rPr>
        <w:t>If the Early Redemption Right is exercised, on the Final Distribution Date all proceeds received by the Trust in £ Sterling upon such exercise will be required to be paid by the Trust to the Swap Counterparty and the Swap Counterparty will be required to pay to the Trust a US Dollars amount equal to the Certificate Principal Amount. Such amount, together with the Dollar Swap Payment required to be paid by the Swap Counterparty to the Trust on the Final Distribution Date, will then be distributed to the Holders to pay the principal of and interest on the Certificates on the Final Distribution Date.</w:t>
      </w:r>
    </w:p>
    <w:p>
      <w:pPr>
        <w:pStyle w:val="Heading2"/>
        <w:ind w:hanging="0" w:start="0"/>
        <w:rPr/>
      </w:pPr>
      <w:r>
        <w:rPr/>
        <w:t>Covenants</w:t>
      </w:r>
    </w:p>
    <w:p>
      <w:pPr>
        <w:pStyle w:val="BodyText"/>
        <w:rPr>
          <w:lang w:eastAsia="en-US"/>
        </w:rPr>
      </w:pPr>
      <w:r>
        <w:rPr>
          <w:lang w:eastAsia="en-US"/>
        </w:rPr>
        <w:t>Except as otherwise set forth under “—Defeasance and Covenant Defeasance” below, for so long as any Senior Notes remain outstanding or any amount remains unpaid on any of the Senior Notes, Enron, will comply with the terms of the covenants set forth below.</w:t>
      </w:r>
    </w:p>
    <w:p>
      <w:pPr>
        <w:pStyle w:val="BodyText"/>
        <w:spacing w:before="0" w:after="0"/>
        <w:rPr>
          <w:lang w:eastAsia="en-US"/>
        </w:rPr>
      </w:pPr>
      <w:r>
        <w:rPr>
          <w:lang w:eastAsia="en-US"/>
        </w:rPr>
      </w:r>
    </w:p>
    <w:p>
      <w:pPr>
        <w:pStyle w:val="Normal"/>
        <w:ind w:firstLine="360" w:end="0"/>
        <w:rPr>
          <w:i/>
          <w:i/>
        </w:rPr>
      </w:pPr>
      <w:r>
        <w:rPr>
          <w:i/>
        </w:rPr>
        <w:t>Limitations on Mortgages and Liens</w:t>
      </w:r>
    </w:p>
    <w:p>
      <w:pPr>
        <w:pStyle w:val="Normal"/>
        <w:rPr/>
      </w:pPr>
      <w:r>
        <w:rPr/>
        <w:t xml:space="preserve"> </w:t>
      </w:r>
    </w:p>
    <w:p>
      <w:pPr>
        <w:pStyle w:val="Normal"/>
        <w:ind w:firstLine="720" w:end="0"/>
        <w:rPr/>
      </w:pPr>
      <w:r>
        <w:rPr/>
        <w:t>The Indenture provides that so long as any of the Indenture Securities (including the Senior Notes) are outstanding, Enron will not, and will not permit any Subsidiary to, pledge, mortgage or hypothecate, or permit to exist, except in favor of Enron or any Subsidiary, any mortgage, pledge or other lien upon, any Principal Property at any time owned by it, to secure any indebtedness (as defined in the Indenture), unless effective provision is made whereby outstanding Indenture Securities (including the Senior Notes) will be equally and ratably secured with any and all such indebtedness and with any other indebtedness similarly entitled to be equally and ratably secured. This restriction does not apply to prevent the creation or existence of:</w:t>
      </w:r>
    </w:p>
    <w:p>
      <w:pPr>
        <w:pStyle w:val="Normal"/>
        <w:ind w:firstLine="720" w:end="0"/>
        <w:rPr/>
      </w:pPr>
      <w:r>
        <w:rPr/>
      </w:r>
    </w:p>
    <w:p>
      <w:pPr>
        <w:pStyle w:val="Normal"/>
        <w:ind w:firstLine="720" w:start="720" w:end="0"/>
        <w:rPr/>
      </w:pPr>
      <w:r>
        <w:rPr/>
        <w:t>(a)</w:t>
        <w:tab/>
        <w:t>mortgages, pledges, liens or encumbrances on any property held or used by Enron or a Subsidiary in connection with the exploration for, development of or production of, oil, gas, natural gas (including liquefied gas and storage gas), other hydrocarbons, helium, coal, metals, minerals, steam, timber, geothermal or other natural resources or synthetic fuels, such properties to include, but not be limited to, Enron's or a Subsidiary's interest in any mineral fee interests, oil, gas or other mineral leases, royalty, overriding royalty or net profits interests, production payments and other similar interests, wellhead production equipment, tanks, field gathering lines, leasehold or field separation and processing facilities, compression facilities and other similar personal property and fixtures;</w:t>
      </w:r>
    </w:p>
    <w:p>
      <w:pPr>
        <w:pStyle w:val="Normal"/>
        <w:ind w:firstLine="720" w:start="720" w:end="0"/>
        <w:rPr/>
      </w:pPr>
      <w:r>
        <w:rPr/>
      </w:r>
    </w:p>
    <w:p>
      <w:pPr>
        <w:pStyle w:val="Normal"/>
        <w:ind w:firstLine="720" w:start="720" w:end="0"/>
        <w:rPr/>
      </w:pPr>
      <w:r>
        <w:rPr/>
        <w:t>(b)</w:t>
        <w:tab/>
        <w:t>mortgages, pledges, liens or encumbrances on oil, gas, natural gas (including liquefied gas and storage gas), other hydrocarbons, helium, coal, metals, minerals, steam, timber, geothermal or other natural resources or synthetic fuels produced or recovered from any property, an interest in which is owned or leased by Enron or a Subsidiary;</w:t>
      </w:r>
    </w:p>
    <w:p>
      <w:pPr>
        <w:pStyle w:val="Normal"/>
        <w:ind w:firstLine="720" w:start="720" w:end="0"/>
        <w:rPr/>
      </w:pPr>
      <w:r>
        <w:rPr/>
      </w:r>
    </w:p>
    <w:p>
      <w:pPr>
        <w:pStyle w:val="Normal"/>
        <w:ind w:firstLine="720" w:start="720" w:end="0"/>
        <w:rPr/>
      </w:pPr>
      <w:r>
        <w:rPr/>
        <w:t>(c)</w:t>
        <w:tab/>
        <w:t>mortgages, pledges, liens or encumbrances (or certain extensions, renewals or refundings thereof) upon any property acquired before or after the date of the Indenture, created at the time of acquisition or within one year thereafter to secure all or a portion of the purchase price thereof, or existing thereon at the date of acquisition, whether or not assumed by Enron or a Subsidiary, provided that every such mortgage, pledge, lien or encumbrance applies only to the property so acquired and fixed improvements thereon;</w:t>
      </w:r>
    </w:p>
    <w:p>
      <w:pPr>
        <w:pStyle w:val="Normal"/>
        <w:ind w:firstLine="720" w:start="720" w:end="0"/>
        <w:rPr/>
      </w:pPr>
      <w:r>
        <w:rPr/>
      </w:r>
    </w:p>
    <w:p>
      <w:pPr>
        <w:pStyle w:val="Normal"/>
        <w:ind w:firstLine="720" w:start="720" w:end="0"/>
        <w:rPr/>
      </w:pPr>
      <w:r>
        <w:rPr/>
        <w:t>(d)</w:t>
        <w:tab/>
        <w:t>mortgages, pledges, liens or encumbrances upon any property acquired before or after the date of the Indenture by any corporation that is or becomes a Subsidiary after the date of the Indenture ("Acquired Entity"), provided that every such mortgage, pledge, lien or encumbrance (a) either (i) exists prior to the time the Acquired Entity becomes a Subsidiary or (ii) will be created at the time the Acquired Entity becomes a Subsidiary or within one year thereafter to secure all or a portion of the acquisition price thereof and (b) only applies to those properties owned by the Acquired Entity at the time it becomes a Subsidiary or thereafter acquired by it from sources other than Enron or any other Subsidiary;</w:t>
      </w:r>
    </w:p>
    <w:p>
      <w:pPr>
        <w:pStyle w:val="Normal"/>
        <w:ind w:firstLine="720" w:start="720" w:end="0"/>
        <w:rPr/>
      </w:pPr>
      <w:r>
        <w:rPr/>
      </w:r>
    </w:p>
    <w:p>
      <w:pPr>
        <w:pStyle w:val="Normal"/>
        <w:ind w:firstLine="720" w:start="720" w:end="0"/>
        <w:rPr/>
      </w:pPr>
      <w:r>
        <w:rPr/>
        <w:t>(e)</w:t>
        <w:tab/>
        <w:t>pledges of current assets, in the ordinary course of business, to secure current liabilities;</w:t>
      </w:r>
    </w:p>
    <w:p>
      <w:pPr>
        <w:pStyle w:val="Normal"/>
        <w:ind w:firstLine="720" w:start="720" w:end="0"/>
        <w:rPr/>
      </w:pPr>
      <w:r>
        <w:rPr/>
      </w:r>
    </w:p>
    <w:p>
      <w:pPr>
        <w:pStyle w:val="Normal"/>
        <w:ind w:firstLine="720" w:start="720" w:end="0"/>
        <w:rPr/>
      </w:pPr>
      <w:r>
        <w:rPr/>
        <w:t>(f)</w:t>
        <w:tab/>
        <w:t>deposits to secure public or statutory obligations;</w:t>
      </w:r>
    </w:p>
    <w:p>
      <w:pPr>
        <w:pStyle w:val="Normal"/>
        <w:ind w:firstLine="720" w:start="720" w:end="0"/>
        <w:rPr/>
      </w:pPr>
      <w:r>
        <w:rPr/>
      </w:r>
    </w:p>
    <w:p>
      <w:pPr>
        <w:pStyle w:val="Normal"/>
        <w:ind w:firstLine="720" w:start="720" w:end="0"/>
        <w:rPr/>
      </w:pPr>
      <w:r>
        <w:rPr/>
        <w:t>(g)</w:t>
        <w:tab/>
        <w:t>liens to secure indebtedness other than Funded Debt (as defined herein);</w:t>
      </w:r>
    </w:p>
    <w:p>
      <w:pPr>
        <w:pStyle w:val="Normal"/>
        <w:ind w:firstLine="720" w:start="720" w:end="0"/>
        <w:rPr/>
      </w:pPr>
      <w:r>
        <w:rPr/>
      </w:r>
    </w:p>
    <w:p>
      <w:pPr>
        <w:pStyle w:val="Normal"/>
        <w:ind w:firstLine="720" w:start="720" w:end="0"/>
        <w:rPr/>
      </w:pPr>
      <w:r>
        <w:rPr/>
        <w:t>(h)</w:t>
        <w:tab/>
        <w:t>mortgages, pledges, liens or encumbrances upon any office, data processing or transportation equipment;</w:t>
      </w:r>
    </w:p>
    <w:p>
      <w:pPr>
        <w:pStyle w:val="Normal"/>
        <w:ind w:firstLine="720" w:start="720" w:end="0"/>
        <w:rPr/>
      </w:pPr>
      <w:r>
        <w:rPr/>
      </w:r>
    </w:p>
    <w:p>
      <w:pPr>
        <w:pStyle w:val="Normal"/>
        <w:ind w:firstLine="720" w:start="720" w:end="0"/>
        <w:rPr/>
      </w:pPr>
      <w:r>
        <w:rPr/>
        <w:t>(i)</w:t>
        <w:tab/>
        <w:t>mortgages, pledges, liens or encumbrances created or assumed by Enron or a Subsidiary in connection with the issuance of debt securities the interest on which is excludable from gross income of the holder of such security pursuant to the Code for the purpose of financing the acquisition or construction of property to be used by Enron or a Subsidiary;</w:t>
      </w:r>
    </w:p>
    <w:p>
      <w:pPr>
        <w:pStyle w:val="Normal"/>
        <w:ind w:firstLine="720" w:start="720" w:end="0"/>
        <w:rPr/>
      </w:pPr>
      <w:r>
        <w:rPr/>
      </w:r>
    </w:p>
    <w:p>
      <w:pPr>
        <w:pStyle w:val="Normal"/>
        <w:ind w:firstLine="720" w:start="720" w:end="0"/>
        <w:rPr/>
      </w:pPr>
      <w:r>
        <w:rPr/>
        <w:t>(j)</w:t>
        <w:tab/>
        <w:t>pledges or assignments of accounts receivable or conditional sales contracts or chattel mortgages and evidences of indebtedness secured thereby, received in connection with the sale by Enron or a Subsidiary of goods or merchandise to customers; or</w:t>
      </w:r>
    </w:p>
    <w:p>
      <w:pPr>
        <w:pStyle w:val="Normal"/>
        <w:ind w:firstLine="720" w:start="720" w:end="0"/>
        <w:rPr/>
      </w:pPr>
      <w:r>
        <w:rPr/>
      </w:r>
    </w:p>
    <w:p>
      <w:pPr>
        <w:pStyle w:val="Normal"/>
        <w:ind w:firstLine="720" w:start="720" w:end="0"/>
        <w:rPr/>
      </w:pPr>
      <w:r>
        <w:rPr/>
        <w:t>(k)</w:t>
        <w:tab/>
        <w:t xml:space="preserve">certain other liens or encumbrances. </w:t>
      </w:r>
    </w:p>
    <w:p>
      <w:pPr>
        <w:pStyle w:val="Normal"/>
        <w:ind w:firstLine="720" w:end="0"/>
        <w:rPr/>
      </w:pPr>
      <w:r>
        <w:rPr/>
      </w:r>
    </w:p>
    <w:p>
      <w:pPr>
        <w:pStyle w:val="Normal"/>
        <w:ind w:firstLine="720" w:end="0"/>
        <w:rPr/>
      </w:pPr>
      <w:r>
        <w:rPr/>
        <w:t>Notwithstanding the foregoing, Enron or a Subsidiary may issue, assume or guarantee indebtedness secured by a mortgage which would otherwise be subject to the foregoing restrictions in an aggregate amount which, together with all other indebtedness of Enron or a Subsidiary secured by a mortgage which (if originally issued, assumed or guaranteed at such time) would otherwise be subject to the foregoing restrictions (not including secured indebtedness permitted under the foregoing exceptions), does not at the time exceed 10% of the Consolidated Net Tangible Assets (total assets less (a) total current liabilities, excluding indebtedness due within 12 months, and (b) goodwill, patents and trademarks) of Enron, as shown on the audited consolidated financial statements of Enron as of the end of the fiscal year preceding the date of determination.</w:t>
      </w:r>
    </w:p>
    <w:p>
      <w:pPr>
        <w:pStyle w:val="Normal"/>
        <w:ind w:firstLine="720" w:end="0"/>
        <w:rPr/>
      </w:pPr>
      <w:r>
        <w:rPr/>
      </w:r>
    </w:p>
    <w:p>
      <w:pPr>
        <w:pStyle w:val="Normal"/>
        <w:ind w:firstLine="720" w:end="0"/>
        <w:rPr/>
      </w:pPr>
      <w:r>
        <w:rPr/>
        <w:t>The holders of at least 50% in principal amount of the outstanding Indenture Securities under the Indenture (including the Senior Notes) may waive compliance by Enron with the mortgage and lien limitations in the Indenture described above.</w:t>
      </w:r>
    </w:p>
    <w:p>
      <w:pPr>
        <w:pStyle w:val="Normal"/>
        <w:ind w:firstLine="720" w:end="0"/>
        <w:rPr/>
      </w:pPr>
      <w:r>
        <w:rPr/>
      </w:r>
    </w:p>
    <w:p>
      <w:pPr>
        <w:pStyle w:val="Normal"/>
        <w:ind w:firstLine="720" w:end="0"/>
        <w:rPr/>
      </w:pPr>
      <w:r>
        <w:rPr/>
        <w:t>For these purposes:</w:t>
      </w:r>
    </w:p>
    <w:p>
      <w:pPr>
        <w:pStyle w:val="Normal"/>
        <w:ind w:firstLine="720" w:end="0"/>
        <w:rPr/>
      </w:pPr>
      <w:r>
        <w:rPr/>
      </w:r>
    </w:p>
    <w:p>
      <w:pPr>
        <w:pStyle w:val="Normal"/>
        <w:ind w:firstLine="720" w:end="0"/>
        <w:rPr/>
      </w:pPr>
      <w:r>
        <w:rPr/>
        <w:t>“</w:t>
      </w:r>
      <w:r>
        <w:rPr/>
        <w:t xml:space="preserve">Subsidiary” is defined to mean a corporation all of the voting shares (that is, shares entitled to vote for the election of directors, but excluding shares entitled so to vote only upon the happening of some contingency unless such contingency has occurred) of which are owned by Enron or by one or more Subsidiaries or by Enron and one or more Subsidiaries. </w:t>
      </w:r>
    </w:p>
    <w:p>
      <w:pPr>
        <w:pStyle w:val="Normal"/>
        <w:ind w:firstLine="720" w:end="0"/>
        <w:rPr/>
      </w:pPr>
      <w:r>
        <w:rPr/>
      </w:r>
    </w:p>
    <w:p>
      <w:pPr>
        <w:pStyle w:val="Normal"/>
        <w:ind w:firstLine="720" w:end="0"/>
        <w:rPr/>
      </w:pPr>
      <w:r>
        <w:rPr/>
        <w:t>“</w:t>
      </w:r>
      <w:r>
        <w:rPr/>
        <w:t>Principal Property” is defined to mean any oil or gas pipeline, gas processing plant or chemical plant located in the United States, except any such property, pipeline or plant that in the opinion of the Board of Directors of Enron is not of material importance to the total business conducted by Enron and its Subsidiaries. Principal Property does not include any oil or gas property or the production or any proceeds of production from an oil or gas producing property or the production or any proceeds of production of gas processing plants or oil or gas or petroleum products in any pipeline.</w:t>
      </w:r>
    </w:p>
    <w:p>
      <w:pPr>
        <w:pStyle w:val="Normal"/>
        <w:ind w:firstLine="720" w:end="0"/>
        <w:rPr/>
      </w:pPr>
      <w:r>
        <w:rPr/>
      </w:r>
    </w:p>
    <w:p>
      <w:pPr>
        <w:pStyle w:val="Normal"/>
        <w:ind w:firstLine="720" w:end="0"/>
        <w:rPr/>
      </w:pPr>
      <w:r>
        <w:rPr/>
        <w:t>“</w:t>
      </w:r>
      <w:r>
        <w:rPr/>
        <w:t>indebtedness,” as applied to Enron or any Subsidiary, is defined to mean bonds, debentures, notes and other instruments representing obligations created or assumed by any such corporation for the repayment of money borrowed (other than unamortized debt discount or premium). All indebtedness secured by a lien upon property owned by Enron or any Subsidiary and upon which indebtedness any such corporation customarily pays interest, even though such corporation has not assumed or become liable for the payment of such indebtedness, is also deemed to be indebtedness of any such corporation. All indebtedness for money borrowed incurred by other persons which is directly guaranteed as to payment of principal by Enron or any Subsidiary is for all purposes of the Indenture deemed to be indebtedness of any such corporation, but no other contingent obligation of any such corporation in respect of indebtedness incurred by other persons is for any purpose deemed indebtedness of such corporation. Indebtedness of Enron or any Subsidiary does not include: (a) amounts which are payable only out of all or a portion of the oil, gas, natural gas, helium, coal, metals, minerals, steam, timber or other natural resources produced, derived or extracted from properties owned or developed by such corporation; (b) any amount representing capitalized lease obligations; (c) any indebtedness incurred to finance oil, gas, natural gas, helium, coal, metals, minerals, steam, timber, hydrocarbons or geothermal or other natural resources or synthetic fuel exploration or development, payable, with respect to principal and interest, solely out of the proceeds of oil, gas, natural gas, helium, coal, metals, minerals, steam, timber, hydrocarbons or geothermal or other natural resources or synthetic fuel to be produced, sold and/or delivered by Enron or any Subsidiary; (d) indirect guarantees or other contingent obligations in connection with the indebtedness of others, including agreements, contingent or otherwise, with such other persons or with third persons with respect to, or to permit or ensure the payment of, obligations of such other persons, including, without limitation, agreements to purchase or repurchase obligations of such other persons, agreements to advance or supply funds to or to invest in such other persons or agreements to pay for property, products or services of such other persons (whether or not conferred, delivered or rendered) and any demand charge, throughput, take-or-pay, keep-well, make-whole, cash deficiency, maintenance of working capital or earnings or similar agreements; and (e) any guarantees with respect to lease or other similar periodic payments to be made by other persons.</w:t>
      </w:r>
    </w:p>
    <w:p>
      <w:pPr>
        <w:pStyle w:val="Normal"/>
        <w:ind w:firstLine="720" w:end="0"/>
        <w:rPr/>
      </w:pPr>
      <w:r>
        <w:rPr/>
      </w:r>
    </w:p>
    <w:p>
      <w:pPr>
        <w:pStyle w:val="Normal"/>
        <w:ind w:firstLine="720" w:end="0"/>
        <w:rPr/>
      </w:pPr>
      <w:r>
        <w:rPr/>
        <w:t>“</w:t>
      </w:r>
      <w:r>
        <w:rPr/>
        <w:t xml:space="preserve">Funded Debt,” as applied to any corporation, is defined to mean all indebtedness incurred, created, assumed or guaranteed by such corporation, or upon which it customarily pays interest charges, which matures, or is renewable by such corporation to a date, more than one year after the date as of which Funded Debt is being determined; </w:t>
      </w:r>
      <w:r>
        <w:rPr>
          <w:i/>
        </w:rPr>
        <w:t>provided, however</w:t>
      </w:r>
      <w:r>
        <w:rPr/>
        <w:t>, that the term "Funded Debt" does not include (a) indebtedness incurred in the ordinary course of business representing borrowings, regardless of when payable, of such corporation from time to time against, but not in excess of the face amount of, its installment accounts receivable for the sale of appliances and equipment sold in the regular course of business or (b) advances for construction and security deposits received by such corporation in the ordinary course of business.</w:t>
      </w:r>
    </w:p>
    <w:p>
      <w:pPr>
        <w:pStyle w:val="Normal"/>
        <w:ind w:firstLine="720" w:end="0"/>
        <w:rPr/>
      </w:pPr>
      <w:r>
        <w:rPr/>
        <w:t xml:space="preserve"> </w:t>
      </w:r>
    </w:p>
    <w:p>
      <w:pPr>
        <w:pStyle w:val="Normal"/>
        <w:ind w:firstLine="720" w:end="0"/>
        <w:rPr/>
      </w:pPr>
      <w:r>
        <w:rPr/>
        <w:t>The foregoing limitations on mortgages, pledges and liens are intended to limit certain other creditors of Enron from obtaining preference or priority over holders of the Indenture Securities issued under the Indenture, but are not intended to prevent other creditors from sharing equally and ratably and without preference over the holders of such Indenture Securities. While such limitations on mortgages and liens do provide protection to the holders of the Indenture Securities, there are a number of exceptions to such restrictions which could result in certain assets of Enron and its Subsidiaries being encumbered without equally and ratably securing the Indenture Securities issued under the Indenture. Specifically, the restrictions apply only to pledges, mortgages or liens upon Principal Property to secure any indebtedness, unless effective provision is made whereby outstanding Indenture Securities will be equally and ratably secured with any such indebtedness and with any other indebtedness similarly entitled to be equally and ratably secured. There are certain exceptions to the definition of indebtedness, which are enumerated in the Indenture and herein. In addition, the restrictions do not apply to prevent the creation or existence of mortgages, pledges, liens or encumbrances on certain types of properties or pursuant to certain types of transactions, all as enumerated in the Indenture and above. Also, up to 10% of Consolidated Net Tangible Assets is not subject to the mortgage and lien limitations contained in the Indenture.</w:t>
      </w:r>
    </w:p>
    <w:p>
      <w:pPr>
        <w:pStyle w:val="Normal"/>
        <w:ind w:firstLine="720" w:end="0"/>
        <w:rPr/>
      </w:pPr>
      <w:r>
        <w:rPr/>
      </w:r>
    </w:p>
    <w:p>
      <w:pPr>
        <w:pStyle w:val="Normal"/>
        <w:ind w:firstLine="360" w:end="0"/>
        <w:rPr>
          <w:i/>
          <w:i/>
        </w:rPr>
      </w:pPr>
      <w:r>
        <w:rPr>
          <w:i/>
        </w:rPr>
        <w:t>Consolidation, Merger or Sale</w:t>
      </w:r>
    </w:p>
    <w:p>
      <w:pPr>
        <w:pStyle w:val="Normal"/>
        <w:ind w:firstLine="720" w:end="0"/>
        <w:rPr>
          <w:i/>
          <w:i/>
        </w:rPr>
      </w:pPr>
      <w:r>
        <w:rPr>
          <w:i/>
        </w:rPr>
      </w:r>
    </w:p>
    <w:p>
      <w:pPr>
        <w:pStyle w:val="Normal"/>
        <w:ind w:firstLine="720" w:end="0"/>
        <w:rPr/>
      </w:pPr>
      <w:r>
        <w:rPr/>
        <w:t xml:space="preserve">Nothing contained in the Indenture or in the Indenture Securities will be deemed to prevent the consolidation or merger of Enron with or into any other corporation, or the merger into Enron of any other corporation, or the sale by Enron of its property and assets as, or substantially as, an entirety, or otherwise; </w:t>
      </w:r>
      <w:r>
        <w:rPr>
          <w:i/>
        </w:rPr>
        <w:t>provided, however</w:t>
      </w:r>
      <w:r>
        <w:rPr/>
        <w:t xml:space="preserve">, that (a) in case of any such consolidation or merger, the corporation resulting from such consolidation or any corporation other than Enron into which such merger will be made will succeed to and be substituted for Enron, with the same effect as it had been named in the Indenture, and will become liable and be bound for, and will expressly assume the due and punctual payment of the principal of (and premium, if any) and interest on all the Indenture Securities and the performance and observance of the covenants and conditions of the Indenture on the part of Enron to be performed or observed and (b) as a condition of any such sale of the property and assets of Enron, the corporation to which such property and assets will be sold expressly assumes, as part of the purchase price thereof, the due and punctual payment of the principal of (and premium, if any) and interest on all the Indenture Securities and the performance and observance of the covenants and conditions of the Indenture on the part of Enron to be performed or observed and so assumes to the same extent that Enron is bound and liable; </w:t>
      </w:r>
      <w:r>
        <w:rPr>
          <w:i/>
        </w:rPr>
        <w:t>provided, however</w:t>
      </w:r>
      <w:r>
        <w:rPr/>
        <w:t>, that no such consolidation, merger or sale will be made if, immediately after such transaction the corporation formed by or surviving any such consolidation or merger, or to which such sale or conveyance was made, is in default in the performance or observance of any of the terms, covenants and conditions of the Indenture to be kept or performed by Enron or (if other than Enron) is not a corporation organized under the laws of the United States or a state thereof. In any such event, the successor corporation will promptly deliver to the Indenture Trustee (i) an Officers’ Certificate stating that as of the time immediately after the effective date of any such transaction the covenants have been complied with and the successor corporation is not in default under the provisions of the Indenture and (ii) an Opinion of Counsel stating that in such counsel’s opinion such covenants have been complied with and that any instruments executed in the performance of such covenants comply with the requirement thereof.</w:t>
      </w:r>
    </w:p>
    <w:p>
      <w:pPr>
        <w:pStyle w:val="Heading2"/>
        <w:ind w:hanging="0" w:start="0"/>
        <w:rPr/>
      </w:pPr>
      <w:r>
        <w:rPr/>
        <w:t>Events of Default</w:t>
      </w:r>
    </w:p>
    <w:p>
      <w:pPr>
        <w:pStyle w:val="BodyText"/>
        <w:rPr/>
      </w:pPr>
      <w:r>
        <w:rPr/>
        <w:t>Under the Indenture, the term “Event of Default” with respect to a series of the Indenture Securities means any one of the following events has occurred and is continuing: (a) default in the payment of any interest upon any Indenture Security of that series when it becomes due and payable or default in the payment of any mandatory sinking fund payment provided for by the terms of any series of Indenture Securities, and continuance of such default for a period of 30 days; (b) default in the payment of the principal of (or premium, if any, on) any Indenture Security of that series at its maturity; (c) default in the performance, or breach, of any covenant or warranty of Enron in the Indenture (other than a covenant or warranty a default in the performance of which or the breach of which is otherwise specifically dealt with in the Indenture or which has been expressly included in the Indenture solely for the benefit of one or more series of Indenture Securities other than that series), and continuance of such default or breach for 60 days after there has been given to Enron by the Trust, or to Enron and the Trust by the holders of at least 25% in principal amount of all outstanding Indenture Securities, a written notice specifying such default or breach and requiring it to be remedied and stating that such notice is a “Notice of Default” under the Indenture; or (d) certain events involving Enron in bankruptcy, receivership or other insolvency proceedings or an assignment for the benefit of creditors.</w:t>
      </w:r>
    </w:p>
    <w:p>
      <w:pPr>
        <w:pStyle w:val="BodyText"/>
        <w:rPr/>
      </w:pPr>
      <w:r>
        <w:rPr/>
        <w:t>If an Event of Default described in clause (a) or (b) in the foregoing paragraph has occurred and is continuing with respect to Indenture Securities of any series, the Indenture provides that the Trust or the holders of not less than 25% in principal amount of the outstanding Indenture Securities of that series may declare the principal amount of all of the Indenture Securities of that series to be due and payable immediately, and upon any such declaration such principal amount will become immediately due and payable. If an Event of Default described in clause (c) or (d) of the foregoing paragraph occurs and is continuing, the Trust or the holders of not less than 25% in principal amount of all of the Indenture Securities then outstanding may declare the principal amount of all of the Indenture Securities to be due and payable immediately, and upon any such declaration such principal amount will become immediately due and payable.</w:t>
      </w:r>
    </w:p>
    <w:p>
      <w:pPr>
        <w:pStyle w:val="BodyText"/>
        <w:rPr/>
      </w:pPr>
      <w:r>
        <w:rPr/>
        <w:t>A default under other indebtedness of Enron is not an Event of Default under the Indenture, and an Event of Default under one series of Indenture Securities will not necessarily be an Event of Default under another series.</w:t>
      </w:r>
    </w:p>
    <w:p>
      <w:pPr>
        <w:pStyle w:val="BodyText"/>
        <w:rPr/>
      </w:pPr>
      <w:r>
        <w:rPr/>
        <w:t>At any time after such a declaration of acceleration with respect to Indenture Securities of any series (or of all series, as the case may be) has been made and before judgment or decree for payment of the money due has been obtained by the Trust, the holders of a majority in principal amount of the outstanding Indenture Securities of that series (or of all series, as the case may be) may rescind and annul such declaration and its consequences, if, subject to certain conditions, all Events of Default with respect to Indenture Securities of that series (or of all series, as the case may be), other than the non-payment of the principal of the Indenture Securities due solely by such declaration of acceleration, have been cured or waived and all payments due (other than by acceleration) have been paid or deposited with the Trust.  With certain exceptions, the holders of not less than a majority in principal amount of the outstanding Indenture Securities of any series, on behalf of the holders of all the Indenture Securities of such series, may waive any past default described in clause (a) or (b) of the first paragraph of this heading “Events of Default” (or, in the case of a default described in clause (c) or (d) of such paragraph, the holders of a majority in principal amount of all outstanding Indenture Securities may waive any such past default), and its consequences, except a default (a) in the payment of the principal of (or premium, if any) or interest on any Indenture Security or (b) in respect of a covenant or provision of the Indenture which under the Indenture cannot be modified or amended without the consent of the holder of each outstanding Indenture Security of such series affected.</w:t>
      </w:r>
    </w:p>
    <w:p>
      <w:pPr>
        <w:pStyle w:val="BodyText"/>
        <w:rPr/>
      </w:pPr>
      <w:r>
        <w:rPr/>
        <w:t>The holders of not less than a majority in principal amount of the Indenture Securities of any series (or of all series, as the case may be) at the time outstanding are empowered under the terms of the Indenture, subject to certain limitations, to direct the time, method and place of conducting any proceeding for any remedy available to the Trust or exercising any trust or power conferred on the Trustee.</w:t>
      </w:r>
    </w:p>
    <w:p>
      <w:pPr>
        <w:pStyle w:val="BodyText"/>
        <w:rPr/>
      </w:pPr>
      <w:r>
        <w:rPr/>
        <w:t>The Indenture further provides that no holder of an Indenture Security of any series may enforce the Indenture except in the case of failure by the Trust to act for 60 days after notice of a continuing Event of Default with respect to the Indenture Securities of that series and after request by the holders of not less than 25% in principal amount of the outstanding Indenture Securities of such series and the offer to the  Trustee of reasonable indemnity, but this provision will not prevent a holder of any Indenture Security from enforcing the payment of the principal of, and interest on, such holder’s Indenture Security.</w:t>
      </w:r>
    </w:p>
    <w:p>
      <w:pPr>
        <w:pStyle w:val="BodyText"/>
        <w:rPr/>
      </w:pPr>
      <w:r>
        <w:rPr/>
        <w:t>The Indenture requires that Enron deliver to the Trust, within 120 days after the end of each fiscal year, an Officer’s Certificate, stating whether to the best knowledge of the signers thereof, Enron is in default in the performance and observance of certain of the terms of the Indenture and, if so, specifying each such default and the nature and status thereof of which the signers may have knowledge.</w:t>
      </w:r>
    </w:p>
    <w:p>
      <w:pPr>
        <w:pStyle w:val="Heading2"/>
        <w:ind w:hanging="0" w:start="0"/>
        <w:rPr/>
      </w:pPr>
      <w:r>
        <w:rPr/>
        <w:t>Defeasance and Covenant Defeasance</w:t>
      </w:r>
    </w:p>
    <w:p>
      <w:pPr>
        <w:pStyle w:val="Normal"/>
        <w:rPr/>
      </w:pPr>
      <w:r>
        <w:rPr/>
      </w:r>
    </w:p>
    <w:p>
      <w:pPr>
        <w:pStyle w:val="Normal"/>
        <w:rPr/>
      </w:pPr>
      <w:r>
        <w:rPr/>
        <w:tab/>
        <w:t xml:space="preserve">[Discuss existing defeasance provisions in the context of UK government securities and requirement for a legal opinion as to no taxable exchange.] </w:t>
      </w:r>
    </w:p>
    <w:p>
      <w:pPr>
        <w:pStyle w:val="Heading2"/>
        <w:ind w:hanging="0" w:start="0"/>
        <w:rPr/>
      </w:pPr>
      <w:r>
        <w:rPr/>
        <w:t>Modification or Waiver of Certain Covenants</w:t>
      </w:r>
    </w:p>
    <w:p>
      <w:pPr>
        <w:pStyle w:val="BodyText"/>
        <w:rPr/>
      </w:pPr>
      <w:r>
        <w:rPr/>
        <w:t>With certain exceptions, the Indenture provides that, with the consent of the holders of not less than 50% in principal amount of all outstanding Indenture Securities affected thereby, Enron and the Trust may enter into a supplemental indenture for the purpose of adding to, changing or eliminating any of the provisions of the Indenture or of modifying in any manner the rights of the holders of Indenture Securities under the Indenture. Notwithstanding the foregoing, the consent of the holder of each outstanding Indenture Security affected thereby will be required to: (a) change the Stated Maturity (as defined in the Indenture) of the principal of, or any installment of principal of or interest on, any Indenture Security, or reduce the principal amount thereof or the rate of interest thereon or any premium payable upon the redemption thereof, or change any Place of Payment (as defined in the Indenture) where, or change the coin or currency in which, any Indenture Security or any premium or the interest thereon is payable, or impair the right to institute suit for the enforcement of any such payment on or after the Stated Maturity thereof (or, in the case of redemption, on or after the Redemption Date, as defined in the Indenture) or change the terms under which any Exchangeable Notes are exchangeable; (b) reduce the percentage in principal amount of the outstanding Indenture Securities of any series, the consent of whose holders is required for any supplemental indenture or for any waiver provided for in the Indenture; or (c) with certain exceptions, modify any of the provisions of the sections of the Indenture which concern waivers of past defaults, waivers of certain covenants or consent to supplemental indentures, except to increase the percentage of principal amount of Indenture Securities of any series, the holders of which are required to effect such waiver or consent, or to provide that certain other provisions of the Indenture cannot be modified or waived without the consent of the holder of each outstanding Indenture Security affected thereby. The Indenture provides that a supplemental indenture which changes or eliminates any covenant or other provision of the Indenture which has expressly been included solely for the benefit of one or more particular series of Indenture Securities, or which modifies the rights of the holders of Indenture Securities of such series with respect to such covenant or other provision, will be deemed not to affect the rights under the Indenture of the holders of Indenture Securities of any other series.</w:t>
      </w:r>
    </w:p>
    <w:p>
      <w:pPr>
        <w:pStyle w:val="Heading2"/>
        <w:ind w:hanging="0" w:start="0"/>
        <w:rPr/>
      </w:pPr>
      <w:r>
        <w:rPr/>
        <w:t>Trustee; Submission to Jurisdiction; Governing Law</w:t>
      </w:r>
    </w:p>
    <w:p>
      <w:pPr>
        <w:pStyle w:val="Normal"/>
        <w:rPr/>
      </w:pPr>
      <w:r>
        <w:rPr/>
      </w:r>
    </w:p>
    <w:p>
      <w:pPr>
        <w:pStyle w:val="Normal"/>
        <w:ind w:firstLine="720" w:end="0"/>
        <w:rPr/>
      </w:pPr>
      <w:r>
        <w:rPr/>
        <w:t>The Bank of New York is the Indenture Trustee and the Trustee of the Trust. Enron conducts other banking transactions with The Bank of New York in the ordinary course of business. The holders of a majority in principal amount of the outstanding Indenture Securities will have the right to direct the time, method and place of conducting any proceeding for exercising any remedy available to the Trustee, subject to certain exceptions. The Indenture provides that if an Event of Default occurs (and it is not cured), the Trustee will be required, in the exercise of its power, to use the degree of care of a prudent person in the conduct of such person's own affairs. Subject to such provisions, the Trustee will be under no obligation to exercise any of its rights or powers under the Indenture at the request of any holder of securities issued under the Indenture, unless such holder has offered to the Trustee security and indemnity satisfactory to it against any loss, liability or expense, and then only to the extent required by the terms of the Indenture. The Trustee may resign from its duties with respect to the Indenture at any time or may be removed by Enron. If the Trustee resigns, is removed or becomes incapable of acting as Trustee or a vacancy occurs in the office of the Trustee for any reason, a successor Trustee will be appointed in accordance with the provisions of the Indenture.</w:t>
      </w:r>
    </w:p>
    <w:p>
      <w:pPr>
        <w:pStyle w:val="Normal"/>
        <w:ind w:firstLine="720" w:end="0"/>
        <w:rPr/>
      </w:pPr>
      <w:r>
        <w:rPr/>
      </w:r>
    </w:p>
    <w:p>
      <w:pPr>
        <w:pStyle w:val="Normal"/>
        <w:ind w:firstLine="720" w:end="0"/>
        <w:rPr/>
      </w:pPr>
      <w:r>
        <w:rPr/>
        <w:t>The Indenture contains the provisions required by the 1939 Act with reference to the disqualification of the Trustee if it has or acquires any “conflicting interest,” as therein defined. The</w:t>
      </w:r>
    </w:p>
    <w:p>
      <w:pPr>
        <w:pStyle w:val="Normal"/>
        <w:rPr/>
      </w:pPr>
      <w:r>
        <w:rPr/>
        <w:t>Indenture also contains certain limitations on the right of the Trustee, as a creditor of Enron, to obtain payment of claims in certain cases, or to realize on certain property received by it in respect of any such claims, as security or otherwise.</w:t>
      </w:r>
    </w:p>
    <w:p>
      <w:pPr>
        <w:pStyle w:val="BodyText"/>
        <w:rPr/>
      </w:pPr>
      <w:r>
        <w:rPr>
          <w:lang w:eastAsia="en-US"/>
        </w:rPr>
        <w:t xml:space="preserve">Any legal suit, action or proceeding against Enron, its properties, assets or revenues with respect to its obligations, liabilities or any other matter arising out of or in connection with the Indenture or the Senior Notes may be brought in the </w:t>
      </w:r>
      <w:r>
        <w:rPr/>
        <w:t xml:space="preserve">Commercial Division, Civil Branch of the </w:t>
      </w:r>
      <w:r>
        <w:rPr>
          <w:lang w:eastAsia="en-US"/>
        </w:rPr>
        <w:t>Supreme Court of New York, New York County or in the United States District Court for the Southern District of New York and any appellate court from either thereof. Enron has submitted to the non-exclusive jurisdiction of such courts for the purposes of any such proceeding and has irrevocably waived, to the fullest extent that it may effectively do so, any objection to the laying of venue of any such proceeding in any such court and the defense of an inconvenient forum.</w:t>
      </w:r>
    </w:p>
    <w:p>
      <w:pPr>
        <w:pStyle w:val="BodyText"/>
        <w:rPr>
          <w:lang w:eastAsia="en-US"/>
        </w:rPr>
      </w:pPr>
      <w:r>
        <w:rPr>
          <w:lang w:eastAsia="en-US"/>
        </w:rPr>
        <w:t>The Senior Notes will be governed by, and construed in accordance with, the law of the State of New York, and the Indenture will be governed by, and construed in accordance with, the law of the State of Texas.</w:t>
      </w:r>
    </w:p>
    <w:p>
      <w:pPr>
        <w:pStyle w:val="BodyText"/>
        <w:rPr>
          <w:lang w:eastAsia="en-US"/>
        </w:rPr>
      </w:pPr>
      <w:r>
        <w:rPr>
          <w:lang w:eastAsia="en-US"/>
        </w:rPr>
      </w:r>
    </w:p>
    <w:p>
      <w:pPr>
        <w:pStyle w:val="Normal"/>
        <w:rPr>
          <w:lang w:eastAsia="en-US"/>
        </w:rPr>
      </w:pPr>
      <w:r>
        <w:rPr>
          <w:lang w:eastAsia="en-US"/>
        </w:rPr>
      </w:r>
      <w:r>
        <w:br w:type="page"/>
      </w:r>
    </w:p>
    <w:p>
      <w:pPr>
        <w:pStyle w:val="Heading1"/>
        <w:ind w:hanging="0" w:start="0"/>
        <w:rPr/>
      </w:pPr>
      <w:r>
        <w:rPr/>
        <w:t>Description of the Currency Swap</w:t>
      </w:r>
    </w:p>
    <w:p>
      <w:pPr>
        <w:pStyle w:val="BodyText"/>
        <w:rPr>
          <w:lang w:eastAsia="en-US"/>
        </w:rPr>
      </w:pPr>
      <w:r>
        <w:rPr>
          <w:lang w:eastAsia="en-US"/>
        </w:rPr>
        <w:t>Pursuant to the Currency Swap, on each Distribution Date, so long as a Swap Termination Event has not occurred, UBS AG, London Branch (the “Swap Counterparty”) will be required to pay to the Trust a US Dollar semi-annual payment (a “Dollar Swap Payment”), which will be equal to the Dollar Distributions due on the Certificates on such Distribution Date, and the Trust will be required to pay to the Swap Counterparty a £ Sterling semi-annual payment (a “Sterling Swap Payment”), which will be equal to the £ Sterling interest payment scheduled to be made by Enron on the Senior Notes on the Interest Payment Date corresponding to such Distribution Date. The Currency Swap will terminate on June 15, 2003 unless earlier terminated as a result of (a) the failure for 30 days by the Trust to make a Sterling Swap Payment thereunder, (b) the failure by the Swap Counterparty to make a Dollar Swap Payment thereunder if such failure is not remedied by the third Business Day after notice of such failure is given by the Trust to the Swap Counterparty, (c) the occurrence of a Conversion Event, (d) insolvency, conservatorship or receivership of the Trust or (e) certain other events as described in the Currency Swap (any such termination, a “Swap Termination Event”).</w:t>
      </w:r>
    </w:p>
    <w:p>
      <w:pPr>
        <w:pStyle w:val="BodyText"/>
        <w:rPr/>
      </w:pPr>
      <w:r>
        <w:rPr>
          <w:lang w:eastAsia="en-US"/>
        </w:rPr>
        <w:t xml:space="preserve">Upon a Swap Termination Event, (a) no further scheduled payments will be owed by the Trust or the Swap Counterparty under the Currency Swap and (b) any unpaid Dollar Swap Payment or Sterling Swap Payment, or other unpaid US Dollar amount or £ Sterling amount payable as a result of the exercise of the Early Redemption Right or the Call Option, owing at the time of such Swap Termination Event will remain owing. Following a Swap Termination Event (other than as a result of a Conversion Event), the Trust will exercise a claim against the Swap Counterparty for any Swap Termination Payment in a manner consistent with its rights and obligations under the Trust Agreement. If a Swap Termination Event occurs (other than as a result of a Conversion Event), Holders will be entitled to receive £ Sterling distributions by the Trust </w:t>
      </w:r>
      <w:r>
        <w:rPr/>
        <w:t xml:space="preserve">(at an interest rate of      % per annum) </w:t>
      </w:r>
      <w:r>
        <w:rPr>
          <w:lang w:eastAsia="en-US"/>
        </w:rPr>
        <w:t>of all £ Sterling payments made in respect of the Senior Notes. If a Swap Termination Event occurs as a result of a Conversion Event, Holders will be entitled to receive US Dollar distributions by the Trust of all US Dollar payments made in respect of the Senior Notes.</w:t>
      </w:r>
    </w:p>
    <w:p>
      <w:pPr>
        <w:pStyle w:val="BodyText"/>
        <w:rPr>
          <w:lang w:eastAsia="en-US"/>
        </w:rPr>
      </w:pPr>
      <w:r>
        <w:rPr>
          <w:lang w:eastAsia="en-US"/>
        </w:rPr>
        <w:t>See “Description of the Trust Agreement—Exercise of Early Redemption Right,” “Description of the Senior Notes—Early Redemption Right,” “Description of the Call Option” and “Description of the Certificates—General.”</w:t>
      </w:r>
    </w:p>
    <w:p>
      <w:pPr>
        <w:pStyle w:val="Heading1"/>
        <w:ind w:hanging="0" w:start="0"/>
        <w:rPr/>
      </w:pPr>
      <w:r>
        <w:rPr/>
        <w:t>Description of the Call Option</w:t>
      </w:r>
    </w:p>
    <w:p>
      <w:pPr>
        <w:pStyle w:val="BodyText"/>
        <w:rPr>
          <w:lang w:eastAsia="en-US"/>
        </w:rPr>
      </w:pPr>
      <w:r>
        <w:rPr>
          <w:lang w:eastAsia="en-US"/>
        </w:rPr>
        <w:t>In exchange for certain consideration paid by UBS AG, London Branch (the “Callholder “) to the Trust, the Trust will enter into an option with the Callholder (the “Call Option”), pursuant to which the Callholder will have the right to purchase the Senior Notes from the Trust on June 15, 2003 (the “Call Settlement Date”) at a purchase price payable in £ Sterling equal to the principal amount of the Senior Notes (the “Call Price”).</w:t>
      </w:r>
    </w:p>
    <w:p>
      <w:pPr>
        <w:pStyle w:val="BodyText"/>
        <w:rPr>
          <w:lang w:eastAsia="en-US"/>
        </w:rPr>
      </w:pPr>
      <w:r>
        <w:rPr>
          <w:lang w:eastAsia="en-US"/>
        </w:rPr>
        <w:t>If the Call Option is exercised and the Callholder pays the Call Price when due, on the Final Distribution Date the proceeds of the Call Price will be required to be paid by the Trust to the Swap Counterparty and the Swap Counterparty will be required to pay to the Trust a US Dollar amount equal to the Certificate Principal Amount. Such amount, together with the Dollar Swap Payment required to be paid by the Swap Counterparty to the Trust on the Final Distribution Date, will then be distributed to the Holders to pay the principal of and interest on the Certificates on the Final Distribution Date. Upon the occurrence of a Conversion Event, the Call Option will terminate and no amounts will be owed by the Trust or the Callholder thereunder.</w:t>
      </w:r>
      <w:r>
        <w:br w:type="page"/>
      </w:r>
    </w:p>
    <w:p>
      <w:pPr>
        <w:pStyle w:val="Heading1"/>
        <w:ind w:hanging="0" w:start="0"/>
        <w:rPr/>
      </w:pPr>
      <w:r>
        <w:rPr/>
        <w:t>Certain United States Income Tax Considerations</w:t>
      </w:r>
    </w:p>
    <w:p>
      <w:pPr>
        <w:pStyle w:val="BodyText"/>
        <w:rPr>
          <w:lang w:eastAsia="en-US"/>
        </w:rPr>
      </w:pPr>
      <w:r>
        <w:rPr>
          <w:lang w:eastAsia="en-US"/>
        </w:rPr>
        <w:t>The following summary describes the material US federal income tax consequences of the acquisition, ownership and disposition of the Certificates by a purchaser that is (a) a US citizen or resident, (b) a corporation, or other entity treated as a corporation for US federal income tax purposes, created or organized under the laws of the United States or any state thereof or the District of Columbia, (c) an estate the income of which is subject to US federal income taxation regardless of its source or (d) a trust the administration of which is subject to the primary supervision of a court within the United States and for which one or more US persons have the authority to control all substantial decisions (each a “US Holder”), and that hold a beneficial interest in a Certificate as a capital asset. If a partnership holds a Certificate, the US federal income tax treatment of a partner generally will depend upon the status of the partner and the activities of the partnership. Partners of partnerships holding Certificates should consult their tax advisors.</w:t>
      </w:r>
    </w:p>
    <w:p>
      <w:pPr>
        <w:pStyle w:val="BodyText"/>
        <w:rPr>
          <w:lang w:eastAsia="en-US"/>
        </w:rPr>
      </w:pPr>
      <w:r>
        <w:rPr>
          <w:lang w:eastAsia="en-US"/>
        </w:rPr>
        <w:t>This discussion represents the opinion of Vinson &amp; Elkins L.L.P., counsel to Enron (“Tax Counsel”), so far as it relates to matters of law or legal conclusions, and is based upon the provisions of the US Internal Revenue Code of 1986, as amended (the “Code”), regulations, rulings and judicial decisions now in effect, all of which are subject to change, possibly with retroactive effect. This summary does not discuss all aspects of US federal income taxation that may be relevant to particular investors in light of their particular investment circumstances, nor does it discuss any aspects of state, local or foreign tax laws or any estate or gift tax considerations. This summary does not deal with non-US persons or with certain classes of US persons subject to special treatment under the US federal income tax laws (for example, dealers in securities, banks, life insurance companies, tax-exempt organizations, or investors that mark-to-market their securities, that have a “functional currency” other than the US dollar or that will hold the Certificates as part of a constructive sale or a position in a “straddle” for US federal income tax purposes). In addition, because the tax consequences may differ depending on individual circumstances, each prospective purchaser of the Certificates is strongly urged to consult its own tax advisor with respect to its particular tax situation.</w:t>
      </w:r>
    </w:p>
    <w:p>
      <w:pPr>
        <w:pStyle w:val="BodyText"/>
        <w:rPr>
          <w:b/>
          <w:lang w:eastAsia="en-US"/>
        </w:rPr>
      </w:pPr>
      <w:r>
        <w:rPr>
          <w:b/>
          <w:lang w:eastAsia="en-US"/>
        </w:rPr>
        <w:t>Persons considering the purchase of Certificates should consult their own tax advisors concerning the US federal income tax consequences of owning and disposing of Certificates, as well as any consequences arising under the laws of any state, local or foreign taxing jurisdiction.</w:t>
      </w:r>
    </w:p>
    <w:p>
      <w:pPr>
        <w:pStyle w:val="Heading2"/>
        <w:ind w:hanging="0" w:start="0"/>
        <w:rPr/>
      </w:pPr>
      <w:r>
        <w:rPr/>
        <w:t>Tax Status of the Trust</w:t>
      </w:r>
    </w:p>
    <w:p>
      <w:pPr>
        <w:pStyle w:val="BodyText"/>
        <w:rPr>
          <w:lang w:eastAsia="en-US"/>
        </w:rPr>
      </w:pPr>
      <w:r>
        <w:rPr>
          <w:lang w:eastAsia="en-US"/>
        </w:rPr>
        <w:t>Tax Counsel is of the opinion that, under current law, and assuming full compliance with the terms of the Indenture and the Trust Agreement, the Trust will be classified as a grantor trust for US federal income tax purposes and not as an association or a publicly traded partnership taxable as a corporation. Accordingly, for US federal income tax purposes, each US Holder will be considered the beneficial owner of a pro rata undivided interest in the Trust Assets.</w:t>
      </w:r>
    </w:p>
    <w:p>
      <w:pPr>
        <w:pStyle w:val="Heading2"/>
        <w:ind w:hanging="0" w:start="0"/>
        <w:rPr/>
      </w:pPr>
      <w:r>
        <w:rPr/>
        <w:t>Integrated Treatment</w:t>
      </w:r>
    </w:p>
    <w:p>
      <w:pPr>
        <w:pStyle w:val="Heading3"/>
        <w:rPr/>
      </w:pPr>
      <w:r>
        <w:rPr/>
        <w:t xml:space="preserve">General  </w:t>
      </w:r>
    </w:p>
    <w:p>
      <w:pPr>
        <w:pStyle w:val="BodyText"/>
        <w:rPr/>
      </w:pPr>
      <w:r>
        <w:rPr/>
        <w:t>Although there is no authority on point, and the matter is not free from doubt, a Holder’s interest in the Senior Notes, the Call Option and the Currency Swap, taken together, should constitute an integrated economic transaction pursuant to Section 988(d) of the Code. Under the Section 988(d) integration rules, a US Holder’s interest in the Trust would be treated as consisting solely of a synthetic three-year, fixed-rate, US Dollar-denominated debt instrument (a “Synthetic Note”). No assurance can be given that the IRS will not take a contrary position or that a court will not agree with that position. The Trust intends, on behalf of the US Holders, to identify their interests in the Trust as integrated under Section 988(d) of the Code. The remainder of this section, “Integrated Treatment,” will assume that the integration rules apply.</w:t>
      </w:r>
      <w:r>
        <w:rPr>
          <w:lang w:eastAsia="en-US"/>
        </w:rPr>
        <w:t xml:space="preserve"> </w:t>
      </w:r>
    </w:p>
    <w:p>
      <w:pPr>
        <w:pStyle w:val="Heading3"/>
        <w:rPr/>
      </w:pPr>
      <w:r>
        <w:rPr/>
        <w:t xml:space="preserve">Interest  </w:t>
      </w:r>
    </w:p>
    <w:p>
      <w:pPr>
        <w:pStyle w:val="BodyText"/>
        <w:rPr/>
      </w:pPr>
      <w:r>
        <w:rPr/>
        <w:t xml:space="preserve">Dollar Swap Payments should be viewed as stated interest payments on the Synthetic Note. Each US Holder must therefore include as ordinary interest income its pro rata share of each Dollar Swap Payment in accordance with its regular method of accounting for tax purposes. A US Holder should be treated as though it had purchased its Synthetic Note for an issue price equal to the US Holder’s US Dollar purchase price for its Certificates.  </w:t>
      </w:r>
      <w:r>
        <w:rPr>
          <w:lang w:eastAsia="en-US"/>
        </w:rPr>
        <w:t>The Synthetic Notes should have a stated redemption price at maturity equal to the anticipated amount of the Final Distribution. Accordingly, the Synthetic Notes should not be issued with original issue discount.</w:t>
      </w:r>
    </w:p>
    <w:p>
      <w:pPr>
        <w:pStyle w:val="Heading3"/>
        <w:rPr/>
      </w:pPr>
      <w:r>
        <w:rPr/>
        <w:t xml:space="preserve">Sale, Exchange or Redemption </w:t>
      </w:r>
    </w:p>
    <w:p>
      <w:pPr>
        <w:pStyle w:val="BodyText"/>
        <w:rPr>
          <w:lang w:eastAsia="en-US"/>
        </w:rPr>
      </w:pPr>
      <w:r>
        <w:rPr>
          <w:lang w:eastAsia="en-US"/>
        </w:rPr>
        <w:t>A US Holder’s tax basis in a Synthetic Note will, in general, be equal to its US Dollar issue price. Upon the sale, exchange or redemption of such Synthetic Note, such US Holder will generally recognize capital gain or loss equal to the difference between the amount realized (less any accrued and unpaid interest, which will be taxable as ordinary income) and its tax basis in such Synthetic Note. Such capital gain or loss will be long-term capital gain or loss if at the time of sale, exchange or redemption such Synthetic Note has been held for more than one year. For an individual US Holder, the maximum tax rate on long-term capital gains attributable to a Synthetic Note is 20%. The ability to use capital losses to offset ordinary income is generally limited.</w:t>
      </w:r>
    </w:p>
    <w:p>
      <w:pPr>
        <w:pStyle w:val="Heading2"/>
        <w:ind w:hanging="0" w:start="0"/>
        <w:rPr/>
      </w:pPr>
      <w:r>
        <w:rPr/>
        <w:t>Separate Transaction Treatment</w:t>
      </w:r>
    </w:p>
    <w:p>
      <w:pPr>
        <w:pStyle w:val="Heading3"/>
        <w:rPr/>
      </w:pPr>
      <w:r>
        <w:rPr/>
        <w:t xml:space="preserve">General  </w:t>
      </w:r>
    </w:p>
    <w:p>
      <w:pPr>
        <w:pStyle w:val="BodyText"/>
        <w:rPr>
          <w:lang w:eastAsia="en-US"/>
        </w:rPr>
      </w:pPr>
      <w:r>
        <w:rPr>
          <w:lang w:eastAsia="en-US"/>
        </w:rPr>
        <w:t>If the integration rules described above did not apply, then a US Holder would be considered to have (a) purchased an undivided interest in the Senior Notes, (b) written a pro rata portion of the Call Option and (c) entered into a pro rata portion of the Currency Swap. Similarly, if a US Holder disposed of its Certificates, it would be considered to have disposed of its separate interests in the Senior Notes, the Call Option and the Currency Swap.</w:t>
      </w:r>
    </w:p>
    <w:p>
      <w:pPr>
        <w:pStyle w:val="Heading3"/>
        <w:rPr/>
      </w:pPr>
      <w:r>
        <w:rPr/>
        <w:t xml:space="preserve">Senior Notes  </w:t>
      </w:r>
    </w:p>
    <w:p>
      <w:pPr>
        <w:pStyle w:val="BodyText"/>
        <w:rPr>
          <w:lang w:eastAsia="en-US"/>
        </w:rPr>
      </w:pPr>
      <w:r>
        <w:rPr>
          <w:lang w:eastAsia="en-US"/>
        </w:rPr>
        <w:t>If the integration rules described above did not apply, then a US Holder would be treated as though it had purchased an undivided interest in the Senior Notes for an issue price equal to the £ Sterling equivalent, on the purchase date, of (a) such US Holder’s purchase price for its Certificates plus (b) its pro rata share of the Call Premium (as defined herein). Because the interest rate on the Senior Notes could reset after exercise of the Call Option, the Senior Notes could be considered “contingent payment debt instruments.” The tax treatment of contingent payment debt instruments denominated in a nonfunctional currency (such as £ Sterling) is unclear. It is possible that a US Holder, regardless of its regular method of accounting for tax purposes, would be required to include original issue discount income (computed in £ Sterling) for each interest payment period in an amount equal to the product of (i) the adjusted issue price of the Senior Notes at the beginning of each such period and (ii) a projected yield to maturity on the Senior Notes. This amount could be greater than the actual cash payment received. In addition, rules applicable to functional currency contingent payment debt instruments would require that a projected payment schedule be determined, and that adjustments to income accruals be made to account for differences between actual and projected payments. Under these rules, any gain realized upon the disposition of a Senior Note would be treated as ordinary income, and any loss realized would be an ordinary loss to the extent of the US Holder’s previous ordinary income inclusions, as adjusted. (See below for a discussion of limitations on the deductibility of ordinary losses.)</w:t>
      </w:r>
    </w:p>
    <w:p>
      <w:pPr>
        <w:pStyle w:val="BodyText"/>
        <w:rPr>
          <w:lang w:eastAsia="en-US"/>
        </w:rPr>
      </w:pPr>
      <w:r>
        <w:rPr>
          <w:lang w:eastAsia="en-US"/>
        </w:rPr>
        <w:t>It is also unclear how exchange gain or loss would be determined on the Senior Notes. It is possible that a US Holder would recognize exchange gain or loss for interest received on each Interest Payment Date equal to the difference between the US Dollar value of the £ Sterling interest payment on the Senior Notes and the US Dollar value of the £ Sterling original issue discount accrued. In addition, when a US Holder disposed of its interest in a Senior Note, it could recognize exchange gain or loss equal to the difference between its US Dollar adjusted basis in such Senior Note and the US Dollar value of the £ Sterling received on the disposition. Any such exchange gain or loss would be recognized only to the extent of the total gain or loss on the disposition and would be treated as ordinary income or loss.</w:t>
      </w:r>
    </w:p>
    <w:p>
      <w:pPr>
        <w:pStyle w:val="Heading3"/>
        <w:rPr/>
      </w:pPr>
      <w:r>
        <w:rPr/>
        <w:t xml:space="preserve">Call Option  </w:t>
      </w:r>
    </w:p>
    <w:p>
      <w:pPr>
        <w:pStyle w:val="BodyText"/>
        <w:rPr>
          <w:lang w:eastAsia="en-US"/>
        </w:rPr>
      </w:pPr>
      <w:r>
        <w:rPr>
          <w:lang w:eastAsia="en-US"/>
        </w:rPr>
        <w:t>If the integration rules described above did not apply, then a US Holder would be considered to have written a pro rata portion of the Call Option in exchange for receiving a pro rata portion of the consideration paid for such option (the “Call Premium”) in £ Sterling. The US Dollar value of the Call Premium would not be recognized as income upon receipt, but would be treated as held in a deferred account until the lapse, exercise or other disposition of the Call Option. Upon lapse, the US Holder would recognize gain equal to the original US Dollar value of its pro rata portion of the Call Premium. Upon exercise or other disposition of its interest in the Call Option, a US Holder would recognize gain or loss equal to the difference between the original US Dollar value of its pro rata portion of the Call Premium and the US Dollar value of the Call Option in the hands of such US Holder. Because the Senior Notes are the underlying property for the Call Option, any gain or loss on the Call Option would generally be exchange gain or loss and therefore ordinary in character. Further, the Senior Notes and the Call Option may constitute positions in a “straddle.” (See below for a discussion of limitations on the deductibility of ordinary losses.)</w:t>
      </w:r>
    </w:p>
    <w:p>
      <w:pPr>
        <w:pStyle w:val="Heading3"/>
        <w:rPr/>
      </w:pPr>
      <w:r>
        <w:rPr/>
        <w:t xml:space="preserve">Currency Swap </w:t>
      </w:r>
    </w:p>
    <w:p>
      <w:pPr>
        <w:pStyle w:val="BodyText"/>
        <w:rPr>
          <w:lang w:eastAsia="en-US"/>
        </w:rPr>
      </w:pPr>
      <w:r>
        <w:rPr>
          <w:lang w:eastAsia="en-US"/>
        </w:rPr>
        <w:t>If the integration rules described above did not apply, then a US Holder would also be considered to have entered into a pro rata portion of the Currency Swap. The US Holder would therefore recognize gain or loss at the time of each periodic payment on the Currency Swap. In addition, a US Holder would recognize gain or loss on the termination or disposition of the Currency Swap. Any such gain or loss would be treated as exchange gain or loss and would therefore be ordinary in character. (See below for a discussion of limitations on the deductibility of ordinary losses.)</w:t>
      </w:r>
    </w:p>
    <w:p>
      <w:pPr>
        <w:pStyle w:val="Heading3"/>
        <w:rPr/>
      </w:pPr>
      <w:r>
        <w:rPr/>
        <w:t xml:space="preserve">Limitation on Deductibility of Ordinary Losses </w:t>
      </w:r>
    </w:p>
    <w:p>
      <w:pPr>
        <w:pStyle w:val="BodyText"/>
        <w:rPr>
          <w:lang w:eastAsia="en-US"/>
        </w:rPr>
      </w:pPr>
      <w:r>
        <w:rPr>
          <w:lang w:eastAsia="en-US"/>
        </w:rPr>
        <w:t>If the integration rules described above did not apply, then a US Holder could recognize ordinary income on one or more of its interests in the Senior Notes, the Call Option and the Currency Swap. At the same time, it could recognize ordinary loss on one or more of its interests in the Senior Notes, the Call Option and the Currency Swap. Thus, regardless of whether or not a US Holder recognized an overall economic gain or loss on the disposition of its Certificates, it could be required to recognize separate items of gain and loss for US federal income tax purposes with respect to its interests in the Senior Notes, the Call Option and the Currency Swap. If a US Holder is an individual, estate or trust, any such separate items of ordinary loss could be subject to the limitations on miscellaneous itemized deductions under Sections 67 and 68 of the Code.</w:t>
      </w:r>
    </w:p>
    <w:p>
      <w:pPr>
        <w:pStyle w:val="Heading2"/>
        <w:ind w:hanging="0" w:start="0"/>
        <w:rPr/>
      </w:pPr>
      <w:r>
        <w:rPr/>
        <w:t>State and Local Tax Considerations</w:t>
      </w:r>
    </w:p>
    <w:p>
      <w:pPr>
        <w:pStyle w:val="BodyText"/>
        <w:rPr>
          <w:lang w:eastAsia="en-US"/>
        </w:rPr>
      </w:pPr>
      <w:r>
        <w:rPr>
          <w:lang w:eastAsia="en-US"/>
        </w:rPr>
        <w:t>In addition to the US federal income tax considerations, prospective investors should consider the state and local income tax consequences of the acquisition, ownership and disposition of the Certificates. state and local income tax law may differ substantially from the corresponding US federal law, and this discussion does not purport to describe any aspect of the income tax laws of any state or local jurisdiction. Therefore, prospective investors should consult their own tax advisors with respect to the various state and local tax considerations of an investment in the Certificates.</w:t>
      </w:r>
    </w:p>
    <w:p>
      <w:pPr>
        <w:pStyle w:val="Heading2"/>
        <w:ind w:hanging="0" w:start="0"/>
        <w:rPr/>
      </w:pPr>
      <w:r>
        <w:rPr/>
        <w:t>Information Reporting and Backup Withholding</w:t>
      </w:r>
    </w:p>
    <w:p>
      <w:pPr>
        <w:pStyle w:val="BodyText"/>
        <w:rPr>
          <w:lang w:eastAsia="en-US"/>
        </w:rPr>
      </w:pPr>
      <w:r>
        <w:rPr>
          <w:lang w:eastAsia="en-US"/>
        </w:rPr>
        <w:t>Under the Code, a US Holder may be subject to certain information reporting requirements and, under certain circumstances, to US backup withholding at a rate of 31% with respect to payments of principal of, interest on, or the gross proceeds of dispositions of, the Certificates. Backup withholding applies only if the US Holder fails to furnish a correct social security or other taxpayer identification number, fails to report interest income in full or fails to certify that such US Holder has provided a correct taxpayer identification number and that such US Holder is not subject to backup withholding. In addition, certain penalties may be imposed by the IRS on a US Holder who is required to supply information but fails to do so, or does so in an improper manner. The backup withholding tax generally may be credited against a US Holder’s regular US federal income tax liability or refunded by the IRS where applicable.</w:t>
      </w:r>
    </w:p>
    <w:p>
      <w:pPr>
        <w:pStyle w:val="BodyText"/>
        <w:rPr>
          <w:lang w:eastAsia="en-US"/>
        </w:rPr>
      </w:pPr>
      <w:r>
        <w:rPr>
          <w:lang w:eastAsia="en-US"/>
        </w:rPr>
        <w:t>The payment of proceeds from the disposition of Certificates to or through the US office of a broker will be subject to information reporting and backup withholding unless the owner establishes an exemption. Special rules may apply with respect to the payment of the proceeds from the disposition of Certificates to or through foreign offices of certain brokers.</w:t>
      </w:r>
    </w:p>
    <w:p>
      <w:pPr>
        <w:pStyle w:val="BodyText"/>
        <w:rPr>
          <w:lang w:eastAsia="en-US"/>
        </w:rPr>
      </w:pPr>
      <w:r>
        <w:rPr>
          <w:lang w:eastAsia="en-US"/>
        </w:rPr>
        <w:t>US Treasury Department regulations that generally are effective for payments made after December 31, 2000 modify in certain respects the backup withholding and information reporting rules. In general, these regulations do not significantly alter the substantive requirements of these rules, but unify current procedures and forms and clarify reliance standards. Prospective investors are urged to consult their own tax advisors regarding these regulations.</w:t>
      </w:r>
    </w:p>
    <w:p>
      <w:pPr>
        <w:pStyle w:val="BodyText"/>
        <w:rPr>
          <w:b/>
          <w:lang w:eastAsia="en-US"/>
        </w:rPr>
      </w:pPr>
      <w:r>
        <w:rPr>
          <w:b/>
          <w:lang w:eastAsia="en-US"/>
        </w:rPr>
        <w:t>Due to the complexity of the rules described above and the uncertainty as to their application to the Certificates, it is particularly important that persons considering the purchase of Certificates consult their own tax advisors concerning the US federal income tax consequences of owning and disposing of Certificates, as well as any consequences arising under the laws of any state, local or foreign taxing jurisdiction.</w:t>
      </w:r>
    </w:p>
    <w:p>
      <w:pPr>
        <w:pStyle w:val="Heading1"/>
        <w:ind w:hanging="0" w:start="0"/>
        <w:rPr/>
      </w:pPr>
      <w:r>
        <w:rPr/>
        <w:t>ERISA Considerations</w:t>
      </w:r>
    </w:p>
    <w:p>
      <w:pPr>
        <w:pStyle w:val="BodyText"/>
        <w:rPr/>
      </w:pPr>
      <w:r>
        <w:rPr>
          <w:lang w:eastAsia="en-US"/>
        </w:rPr>
        <w:t xml:space="preserve">The Employee Retirement Income Security Act of 1974, as amended (“ERISA”), and the Code impose certain restrictions on (a) employee benefit plans (as defined in Section 3(3) of ERISA) subject to Title I of ERISA, (b) plans described in Section 4975(e)(1) of the Code that are subject to Section 4975 of the Code, including individual retirement accounts or Keogh plans, (c) any entities whose underlying assets include plan assets by reason of a plan’s investment in such entities (each of (a), (b) and (c) a “Plan”) and (d) persons who have certain specified relationships to such Plans (each, a “Party in Interest” under Section 3(14) of ERISA and a “Disqualified Person” under Section 4975(e)(2) of the Code). Moreover, based on the reasoning of the United States Supreme Court in </w:t>
      </w:r>
      <w:r>
        <w:rPr>
          <w:i/>
          <w:lang w:eastAsia="en-US"/>
        </w:rPr>
        <w:t>John Hancock Life Insurance Co. v. Harris Trust and Savings Ban</w:t>
      </w:r>
      <w:r>
        <w:rPr>
          <w:lang w:eastAsia="en-US"/>
        </w:rPr>
        <w:t>k, 114 S. Ct. 517 (1993), an insurance company’s general account may be deemed to include assets of the Plans investing in the general account (</w:t>
      </w:r>
      <w:r>
        <w:rPr>
          <w:i/>
          <w:lang w:eastAsia="en-US"/>
        </w:rPr>
        <w:t>e.g.</w:t>
      </w:r>
      <w:r>
        <w:rPr>
          <w:lang w:eastAsia="en-US"/>
        </w:rPr>
        <w:t>, through the purchase of an annuity contract).</w:t>
      </w:r>
    </w:p>
    <w:p>
      <w:pPr>
        <w:pStyle w:val="BodyText"/>
        <w:rPr>
          <w:lang w:eastAsia="en-US"/>
        </w:rPr>
      </w:pPr>
      <w:r>
        <w:rPr>
          <w:lang w:eastAsia="en-US"/>
        </w:rPr>
        <w:t>ERISA imposes certain fiduciary standards on persons who are fiduciaries of Plans subject to ERISA. Each fiduciary of a Plan regulated by ERISA should consider the fiduciary standards of ERISA in the context of the Plan’s particular circumstances before authorizing an investment in the Certificates. Accordingly, among other factors, the fiduciary should consider whether the investment would satisfy the prudence and diversification requirements of ERISA, whether the investment would constitute an improper delegation of fiduciary authority and whether the investment would be consistent with the documents and instruments governing the Plan. Section 406 of ERISA and Section 4975 of the Code prohibit certain transactions between a Plan and Parties-in-Interest and Disqualified Persons with respect to such Plan. Unless exemptive relief is available under an applicable statutory or administrative exemption, a violation of these “prohibited transaction” rules may result in excise tax or liabilities for Parties-in-Interest and Disqualified Persons and fiduciary liability exposure for Plan fiduciaries. Certain Plans such as governmental plans (as defined in Section 3(32) of ERISA), certain church plans (as defined in Section 3(33) of ERISA) and foreign plans (as defined in Section 4(b)(4) of ERISA), are not subject to the requirements of ERISA or Section 4975 of the Code.</w:t>
      </w:r>
    </w:p>
    <w:p>
      <w:pPr>
        <w:pStyle w:val="BodyText"/>
        <w:rPr>
          <w:lang w:eastAsia="en-US"/>
        </w:rPr>
      </w:pPr>
      <w:r>
        <w:rPr>
          <w:lang w:eastAsia="en-US"/>
        </w:rPr>
        <w:t>The Department of Labor has issued a regulation (29 C.F.R. Section 2510.3-101) specifying what constitutes the assets of a Plan (the “Plan Asset Regulation”). The Plan Asset Regulation provides that, as a general rule, the underlying assets and properties of corporations, partnerships, trusts and certain other entities in which a Plan purchases an “equity interest” will be deemed for purposes of ERISA to be assets of the investing Plan unless at least one of the listed exceptions applies. Under the Plan Asset Regulation, the definition of “an equity interest” includes a beneficial interest in a trust. Therefore, the Certificates offered hereby should be treated as “equity interests” for purposes of the Plan Asset Regulation, and there can be no assurance that any of the exceptions set forth in the Plan Asset Regulation will apply to the purchase of the Certificates offered hereby.</w:t>
      </w:r>
    </w:p>
    <w:p>
      <w:pPr>
        <w:pStyle w:val="BodyText"/>
        <w:rPr>
          <w:lang w:eastAsia="en-US"/>
        </w:rPr>
      </w:pPr>
      <w:r>
        <w:rPr>
          <w:lang w:eastAsia="en-US"/>
        </w:rPr>
        <w:t xml:space="preserve">Under the terms of the Plan Asset Regulation, if the Trust were deemed to hold Plan assets by reason of such Plan’s investment in a Certificate, such Plan assets would include an undivided interest in all of the Trust Assets. In such event, each person providing services with respect to the Trust Assets may be subject to the fiduciary responsibility provisions of Title I of ERISA and the prohibited transaction provisions of ERISA and Section 4975 of the Code with respect to transactions involving such assets and Parties-in-Interest or Disqualified Persons. To avoid certain prohibited transactions that might otherwise arise in connection with the Trust Assets, each investing Plan, by its purchase of Certificates, will be deemed to have directed the Trust to (a) purchase the Senior Notes and (b) enter into the Currency Swap and the Call Option with the Swap Counterparty and the Callholder, respectively, and will be deemed to have approved all documents relating to the Trust Assets. </w:t>
      </w:r>
    </w:p>
    <w:p>
      <w:pPr>
        <w:pStyle w:val="BodyText"/>
        <w:rPr>
          <w:lang w:eastAsia="en-US"/>
        </w:rPr>
      </w:pPr>
      <w:r>
        <w:rPr>
          <w:lang w:eastAsia="en-US"/>
        </w:rPr>
        <w:t>Moreover and again because the assets of the Trust may be considered “plan assets” for ERISA purposes as a result of a Plan’s acquisition or holding of the Certificates, a Plan fiduciary should consider (a) whether or not powers that potentially may be exercised by any person or entity with respect to the Trust or its assets would result in such a person or entity being potentially deemed to be a Party in Interest or Disqualified Person with respect to a Plan acquiring or holding Certificates and (b) whether or not such acquisition and holding could result in a delegation of fiduciary authority that is impermissible under the Plan’s governing instruments or any investment management agreement with the Plan. Further, the fiduciaries of any Plan that may purchase or hold the Certificates will be deemed as a result of such acquisition or holding to have (i) directed the Trust to invest in the Senior Notes and (ii) authorized and directed any of if the actions taken or that may be taken with respect to the Trust, the Senior Notes and the Certificates by any of Enron, the Swap Counterparty, the Callholder or the Trust as contemplated by the instruments governing with respect to the Certificates, the Senior Notes and the Trust.</w:t>
      </w:r>
    </w:p>
    <w:p>
      <w:pPr>
        <w:pStyle w:val="BodyText"/>
        <w:rPr>
          <w:lang w:eastAsia="en-US"/>
        </w:rPr>
      </w:pPr>
      <w:r>
        <w:rPr>
          <w:lang w:eastAsia="en-US"/>
        </w:rPr>
        <w:t>In addition, each of Enron, the Swap Counterparty, the Callholder and the Trust, because of their activities or the activities of their respective affiliates, may be considered to be a Party in Interest or Disqualified Person with respect to certain Plans. If the Certificates are acquired, held or disposed of by a Plan with respect to which Enron, the Swap Counterparty, the Callholder or the Trust is a Party in Interest or Disqualified Person, such transaction could be deemed to be a direct or indirect violation of the prohibited transaction rules of ERISA and Section 4975 of the Code unless such transaction were subject to one or more of the following statutory or administrative Prohibited Transaction Class Exemptions (“PTCEs”): PTCE 90-1, which exempts certain transactions involving insurance company pooled separate accounts; PTCE 91-38, which exempts certain transactions involving bank collective investment funds; PTCE 84-14, which exempts certain transactions effected on behalf of a Plan by a “qualified professional asset manager”; PTCE 95-60, which exempts certain transactions involving insurance company general accounts; or PTCE 96-23, which exempts certain transactions effected on behalf of a Plan by an “in-house asset manager.” Even if the conditions specified in one or more of these exemptions are met, the scope of relief provided by any such exemption may not necessarily cover all acts that might be construed as Prohibited Transactions.</w:t>
      </w:r>
    </w:p>
    <w:p>
      <w:pPr>
        <w:pStyle w:val="BodyText"/>
        <w:rPr>
          <w:lang w:eastAsia="en-US"/>
        </w:rPr>
      </w:pPr>
      <w:r>
        <w:rPr>
          <w:lang w:eastAsia="en-US"/>
        </w:rPr>
        <w:t>Each purchaser of Certificates will be deemed to have represented and warranted that (a) either (i) it is not acquiring or will not be holding the Certificates for, on behalf of or with the assets of any Plan or (ii) one or more of the foregoing PTCEs applies such that its acquisition, holding and disposition of the Certificates will not constitute a non-exempt prohibited transaction within the meaning of Section 406 of ERISA or Section 4975 of the Code and (b) its secondary disposition of the Certificates will not result in a non-exempt prohibited transaction within the meaning of Section 406 of ERISA or Section 4975 of the Code. See “Notice to Investors.”</w:t>
      </w:r>
    </w:p>
    <w:p>
      <w:pPr>
        <w:pStyle w:val="BodyText"/>
        <w:rPr>
          <w:lang w:eastAsia="en-US"/>
        </w:rPr>
      </w:pPr>
      <w:r>
        <w:rPr>
          <w:lang w:eastAsia="en-US"/>
        </w:rPr>
        <w:t xml:space="preserve">Due to the complexity of these rules and the penalties that may be imposed upon persons involved in non-exempt “prohibited transactions,” it is particularly important that anyone considering purchasing, holding or disposing of Certificates consult with counsel regarding the potential consequences if the Trust Assets are deemed to be “plan assets” and the availability of exemptive relief under the prohibited transaction exemptions described above.  </w:t>
      </w:r>
      <w:r>
        <w:br w:type="page"/>
      </w:r>
    </w:p>
    <w:p>
      <w:pPr>
        <w:pStyle w:val="Heading1"/>
        <w:ind w:hanging="0" w:start="0"/>
        <w:rPr/>
      </w:pPr>
      <w:r>
        <w:rPr/>
        <w:t>Plan of Distribution</w:t>
      </w:r>
    </w:p>
    <w:p>
      <w:pPr>
        <w:pStyle w:val="BodyText"/>
        <w:rPr>
          <w:lang w:eastAsia="en-US"/>
        </w:rPr>
      </w:pPr>
      <w:r>
        <w:rPr>
          <w:lang w:eastAsia="en-US"/>
        </w:rPr>
        <w:t>Under the terms and subject to the conditions contained in a Purchase Agreement (the “Purchase Agreement”) dated  June    , 2000 among the Trust, Enron and UBS Warburg LLC (the “Initial Purchaser”), the Initial Purchaser has agreed to purchase, and the Trust has agreed to sell to the Initial Purchaser, 100% of the principal amount of the Certificates.</w:t>
      </w:r>
    </w:p>
    <w:p>
      <w:pPr>
        <w:pStyle w:val="BodyText"/>
        <w:rPr>
          <w:lang w:eastAsia="en-US"/>
        </w:rPr>
      </w:pPr>
      <w:r>
        <w:rPr>
          <w:lang w:eastAsia="en-US"/>
        </w:rPr>
        <w:t>The Purchase Agreement provides that the obligations of the Initial Purchaser to pay for and accept delivery of the Certificates are subject to the approval of certain legal matters by its counsel and to certain other conditions. The Initial Purchaser is committed to take and pay for all of the Certificates if any are taken.</w:t>
      </w:r>
    </w:p>
    <w:p>
      <w:pPr>
        <w:pStyle w:val="BodyText"/>
        <w:rPr>
          <w:lang w:eastAsia="en-US"/>
        </w:rPr>
      </w:pPr>
      <w:r>
        <w:rPr>
          <w:lang w:eastAsia="en-US"/>
        </w:rPr>
        <w:t>Subject to certain conditions, Enron has agreed to indemnify the Initial Purchaser and the Trustee against certain civil liabilities, including certain liabilities under the Securities Act, or to contribute to payments that the Initial Purchaser may be required to make in respect thereof.</w:t>
      </w:r>
    </w:p>
    <w:p>
      <w:pPr>
        <w:pStyle w:val="BodyText"/>
        <w:rPr>
          <w:lang w:eastAsia="en-US"/>
        </w:rPr>
      </w:pPr>
      <w:r>
        <w:rPr>
          <w:lang w:eastAsia="en-US"/>
        </w:rPr>
        <w:t>The Initial Purchaser has advised the Trust and Enron that it intends to offer the Certificates directly to investors at the offering price set forth on the cover page of this Offering Circular and to certain dealers at such price less a concession not in excess of      % of the principal amount of the Certificates.</w:t>
      </w:r>
    </w:p>
    <w:p>
      <w:pPr>
        <w:pStyle w:val="BodyText"/>
        <w:rPr>
          <w:lang w:eastAsia="en-US"/>
        </w:rPr>
      </w:pPr>
      <w:r>
        <w:rPr>
          <w:lang w:eastAsia="en-US"/>
        </w:rPr>
        <w:t>The Initial Purchaser may allow and such dealers may reallow a discount not in excess of      % of the principal amount of the Certificates to certain other dealers. After the initial offering, the price to investors, concessions and discounts may be changed.</w:t>
      </w:r>
    </w:p>
    <w:p>
      <w:pPr>
        <w:pStyle w:val="BodyText"/>
        <w:rPr>
          <w:lang w:eastAsia="en-US"/>
        </w:rPr>
      </w:pPr>
      <w:r>
        <w:rPr>
          <w:lang w:eastAsia="en-US"/>
        </w:rPr>
        <w:t>The Certificates have not been and will not be registered under the Securities Act and may not be offered or sold in the US except in accordance with an applicable exemption from the registration requirements of, or in a transaction not subject to, the Securities Act. Offers and sales of the Certificates will be made by the Initial Purchaser only (a) in the case of Certificates resold or otherwise transferred pursuant to Rule 144A, to institutional investors that are reasonably believed to qualify as QIBs and (b) in the case of Certificates resold or otherwise transferred pursuant to Regulation S, to Regulation S Purchasers in offshore transactions in compliance with Regulation S.</w:t>
      </w:r>
    </w:p>
    <w:p>
      <w:pPr>
        <w:pStyle w:val="BodyText"/>
        <w:rPr>
          <w:lang w:eastAsia="en-US"/>
        </w:rPr>
      </w:pPr>
      <w:r>
        <w:rPr>
          <w:lang w:eastAsia="en-US"/>
        </w:rPr>
        <w:t>The Initial Purchaser has acknowledged and agreed that it has offered and sold, and will offer and sell, Certificates (a) as part of its distribution at any time and (b) otherwise until 40 days after the later of the date upon which the offering of Certificates commences and the Certificate Issue Date, in each case only in accordance with Rule 903 of Regulation S or Rule 144A. The Initial Purchaser has agreed that, at or prior to confirmation of a sale of Certificates (other than a sale of Certificates pursuant to Rule 144A), it will have sent to each distributor or, dealer or persons receiving a selling concession, fee or other remuneration that purchases Certificates from it or through it during the Distribution Compliance Period a confirmation or notice setting forth the restriction of offers and sales of Certificates within the US or to, or for the account or benefit of, US persons.</w:t>
      </w:r>
    </w:p>
    <w:p>
      <w:pPr>
        <w:pStyle w:val="BodyText"/>
        <w:rPr>
          <w:lang w:eastAsia="en-US"/>
        </w:rPr>
      </w:pPr>
      <w:r>
        <w:rPr>
          <w:lang w:eastAsia="en-US"/>
        </w:rPr>
        <w:t>In addition, until 40 days after the commencement of the offering of the Certificates, an offer or sale of the Certificates within the US by a dealer (whether or not participating in the offering of the Certificates) may violate the registration requirements of the Securities Act if such offer or resale is made otherwise than in compliance with Rule 144A or pursuant to another exemption from the registration requirements of the Securities Act.</w:t>
      </w:r>
    </w:p>
    <w:p>
      <w:pPr>
        <w:pStyle w:val="BodyText"/>
        <w:rPr>
          <w:lang w:eastAsia="en-US"/>
        </w:rPr>
      </w:pPr>
      <w:r>
        <w:rPr>
          <w:lang w:eastAsia="en-US"/>
        </w:rPr>
        <w:t>During and after the offering, the Initial Purchaser may purchase and sell the Certificates in the open market in transactions in the US. These transactions may include overallotment and stabilizing transactions and purchases to cover short positions created in connection with the offering. The Initial Purchaser also may impose a penalty bid, whereby selling concessions allowed to broker-dealers in respect of the Certificates sold in the offering for their account may be reclaimed by the Initial Purchaser if such Certificates are repurchased by the Initial Purchaser in stabilizing or covering transactions. These activities may stabilize, maintain or otherwise affect the market price of the Certificates, which may be higher than the price that might otherwise prevail in the open market. These transactions may be effected in the over-the-counter market or otherwise, and these activities, if commenced, may be discontinued at any time.</w:t>
      </w:r>
    </w:p>
    <w:p>
      <w:pPr>
        <w:pStyle w:val="BodyText"/>
        <w:rPr>
          <w:lang w:eastAsia="en-US"/>
        </w:rPr>
      </w:pPr>
      <w:r>
        <w:rPr>
          <w:lang w:eastAsia="en-US"/>
        </w:rPr>
        <w:t>In the ordinary course of business, the Initial Purchaser has performed, and in the future may perform, investment banking, commercial banking and other services for Enron and its affiliates and may do so from time to time in the future. UBS AG, London Branch, which is the Swap Counterparty and the Callholder, is an affiliate of the Initial Purchaser.</w:t>
      </w:r>
      <w:r>
        <w:br w:type="page"/>
      </w:r>
    </w:p>
    <w:p>
      <w:pPr>
        <w:pStyle w:val="Heading1"/>
        <w:ind w:hanging="0" w:start="0"/>
        <w:rPr/>
      </w:pPr>
      <w:r>
        <w:rPr/>
        <w:t>Legal Matters</w:t>
      </w:r>
    </w:p>
    <w:p>
      <w:pPr>
        <w:pStyle w:val="BodyText"/>
        <w:rPr>
          <w:lang w:eastAsia="en-US"/>
        </w:rPr>
      </w:pPr>
      <w:r>
        <w:rPr>
          <w:lang w:eastAsia="en-US"/>
        </w:rPr>
        <w:t>Certain legal matters relating to the Certificates and the Senior Notes will be passed upon for Enron by James V. Derrick, Jr. Esq., Executive Vice President and General Counsel of Enron, and Vinson &amp; Elkins L.L.P., Houston, Texas. Certain legal matters relating to the Certificates will be passed upon for the Initial Purchaser by Winthrop, Stimson, Putnam &amp; Roberts, New York, New York. Certain other legal matters will be passed upon for the Initial Purchaser by Bracewell &amp; Patterson, L.L.P., which currently provides services to Enron and certain of its subsidiaries and affiliates as outside counsel on matters unrelated to the issuance of the Certificates and the Senior Notes.</w:t>
      </w:r>
    </w:p>
    <w:p>
      <w:pPr>
        <w:pStyle w:val="Heading1"/>
        <w:ind w:hanging="0" w:start="0"/>
        <w:rPr/>
      </w:pPr>
      <w:r>
        <w:rPr/>
        <w:t>Independent Auditors</w:t>
      </w:r>
    </w:p>
    <w:p>
      <w:pPr>
        <w:pStyle w:val="BodyText"/>
        <w:rPr>
          <w:lang w:eastAsia="en-US"/>
        </w:rPr>
      </w:pPr>
      <w:r>
        <w:rPr>
          <w:lang w:eastAsia="en-US"/>
        </w:rPr>
        <w:t>The consolidated financial statements and schedule included in Enron’s Annual Report on Form 10-K for the year ended December 31, 1999, incorporated by reference in this Offering Circular, have been audited by Arthur Andersen LLP, independent public accountants, as indicated in their reports with respect thereto incorporated by reference herein.</w:t>
      </w:r>
    </w:p>
    <w:p>
      <w:pPr>
        <w:sectPr>
          <w:headerReference w:type="default" r:id="rId14"/>
          <w:headerReference w:type="first" r:id="rId15"/>
          <w:footerReference w:type="default" r:id="rId16"/>
          <w:footerReference w:type="first" r:id="rId17"/>
          <w:type w:val="nextPage"/>
          <w:pgSz w:w="12240" w:h="15840"/>
          <w:pgMar w:left="1440" w:right="1440" w:gutter="0" w:header="0" w:top="1440" w:footer="720" w:bottom="1440"/>
          <w:pgNumType w:fmt="decimal"/>
          <w:formProt w:val="false"/>
          <w:textDirection w:val="lrTb"/>
          <w:docGrid w:type="default" w:linePitch="360" w:charSpace="0"/>
        </w:sectPr>
        <w:pStyle w:val="BodyText"/>
        <w:rPr>
          <w:lang w:eastAsia="en-US"/>
        </w:rPr>
      </w:pPr>
      <w:r>
        <w:rPr>
          <w:lang w:eastAsia="en-US"/>
        </w:rPr>
      </w:r>
    </w:p>
    <w:p>
      <w:pPr>
        <w:pStyle w:val="BodyText"/>
        <w:tabs>
          <w:tab w:val="clear" w:pos="720"/>
          <w:tab w:val="right" w:pos="4320" w:leader="none"/>
        </w:tabs>
        <w:spacing w:before="0" w:after="0"/>
        <w:ind w:hanging="0" w:end="0"/>
        <w:rPr>
          <w:b/>
          <w:i/>
          <w:i/>
          <w:sz w:val="20"/>
          <w:u w:val="double"/>
          <w:lang w:eastAsia="en-US"/>
        </w:rPr>
      </w:pPr>
      <w:r>
        <w:rPr>
          <w:b/>
          <w:i/>
          <w:sz w:val="20"/>
          <w:u w:val="double"/>
          <w:lang w:eastAsia="en-US"/>
        </w:rPr>
        <w:tab/>
      </w:r>
    </w:p>
    <w:p>
      <w:pPr>
        <w:pStyle w:val="BodyText"/>
        <w:tabs>
          <w:tab w:val="clear" w:pos="720"/>
          <w:tab w:val="right" w:pos="4320" w:leader="none"/>
        </w:tabs>
        <w:spacing w:before="120" w:after="0"/>
        <w:ind w:hanging="0" w:end="0"/>
        <w:rPr>
          <w:i/>
          <w:i/>
          <w:sz w:val="20"/>
          <w:lang w:eastAsia="en-US"/>
        </w:rPr>
      </w:pPr>
      <w:r>
        <w:rPr>
          <w:i/>
          <w:sz w:val="20"/>
          <w:lang w:eastAsia="en-US"/>
        </w:rPr>
        <w:t>No dealer, salesperson or other person has been authorized to give any information or to make any representations other than those contained in this Offering Circular, in connection with the offering covered by this Offering Circular. If given or made, such information or representations must not be relied upon as having been authorized by the Trust, Enron or the Initial Purchaser. This Offering Circular does not constitute an offer to sell, or a solicitation of an offer to buy, any of the securities in any jurisdiction to any person to whom it is unlawful to make such offer or solicitation. Neither the delivery of this Offering Circular nor any sale made hereunder will under any circumstances create an implication that there has not been a change in the facts set forth in this Offering Circular or in the affairs of the Trust or Enron since the date hereof.</w:t>
      </w:r>
    </w:p>
    <w:p>
      <w:pPr>
        <w:pStyle w:val="BodyText"/>
        <w:tabs>
          <w:tab w:val="clear" w:pos="720"/>
          <w:tab w:val="right" w:pos="4320" w:leader="none"/>
        </w:tabs>
        <w:spacing w:before="120" w:after="0"/>
        <w:ind w:hanging="0" w:end="0"/>
        <w:rPr>
          <w:i/>
          <w:i/>
          <w:sz w:val="20"/>
          <w:lang w:eastAsia="en-US"/>
        </w:rPr>
      </w:pPr>
      <w:r>
        <w:rPr>
          <w:i/>
          <w:sz w:val="20"/>
          <w:lang w:eastAsia="en-US"/>
        </w:rPr>
      </w:r>
    </w:p>
    <w:p>
      <w:pPr>
        <w:pStyle w:val="BodyText"/>
        <w:tabs>
          <w:tab w:val="clear" w:pos="720"/>
          <w:tab w:val="right" w:pos="4320" w:leader="none"/>
        </w:tabs>
        <w:spacing w:before="120" w:after="0"/>
        <w:ind w:hanging="0" w:end="0"/>
        <w:rPr>
          <w:i/>
          <w:i/>
          <w:sz w:val="20"/>
          <w:lang w:eastAsia="en-US"/>
        </w:rPr>
      </w:pPr>
      <w:r>
        <w:rPr>
          <w:i/>
          <w:sz w:val="20"/>
          <w:lang w:eastAsia="en-US"/>
        </w:rPr>
      </w:r>
    </w:p>
    <w:p>
      <w:pPr>
        <w:pStyle w:val="BodyText"/>
        <w:tabs>
          <w:tab w:val="clear" w:pos="720"/>
          <w:tab w:val="right" w:pos="4320" w:leader="none"/>
        </w:tabs>
        <w:spacing w:before="0" w:after="0"/>
        <w:ind w:hanging="0" w:end="0"/>
        <w:jc w:val="center"/>
        <w:rPr>
          <w:i/>
          <w:i/>
          <w:sz w:val="20"/>
          <w:u w:val="thick"/>
          <w:lang w:eastAsia="en-US"/>
        </w:rPr>
      </w:pPr>
      <w:r>
        <w:rPr>
          <w:i/>
          <w:sz w:val="20"/>
          <w:u w:val="thick"/>
          <w:lang w:eastAsia="en-US"/>
        </w:rPr>
        <w:t>                      </w:t>
      </w:r>
    </w:p>
    <w:p>
      <w:pPr>
        <w:pStyle w:val="BodyText"/>
        <w:ind w:hanging="0" w:end="0"/>
        <w:jc w:val="center"/>
        <w:rPr>
          <w:b/>
          <w:i/>
          <w:i/>
          <w:sz w:val="20"/>
          <w:u w:val="thick"/>
          <w:lang w:eastAsia="en-US"/>
        </w:rPr>
      </w:pPr>
      <w:r>
        <w:rPr>
          <w:b/>
          <w:i/>
          <w:sz w:val="20"/>
          <w:u w:val="thick"/>
          <w:lang w:eastAsia="en-US"/>
        </w:rPr>
      </w:r>
    </w:p>
    <w:p>
      <w:pPr>
        <w:pStyle w:val="BodyText"/>
        <w:ind w:hanging="0" w:end="0"/>
        <w:jc w:val="center"/>
        <w:rPr>
          <w:b/>
          <w:sz w:val="20"/>
          <w:lang w:eastAsia="en-US"/>
        </w:rPr>
      </w:pPr>
      <w:r>
        <w:rPr>
          <w:b/>
          <w:sz w:val="20"/>
          <w:lang w:eastAsia="en-US"/>
        </w:rPr>
        <w:t>Table of Contents</w:t>
      </w:r>
    </w:p>
    <w:p>
      <w:pPr>
        <w:pStyle w:val="BodyText"/>
        <w:spacing w:before="0" w:after="0"/>
        <w:ind w:hanging="0" w:end="0"/>
        <w:jc w:val="end"/>
        <w:rPr>
          <w:b/>
          <w:sz w:val="20"/>
          <w:u w:val="single"/>
          <w:lang w:eastAsia="en-US"/>
        </w:rPr>
      </w:pPr>
      <w:r>
        <w:rPr>
          <w:b/>
          <w:sz w:val="20"/>
          <w:u w:val="single"/>
          <w:lang w:eastAsia="en-US"/>
        </w:rPr>
        <w:t>Page</w:t>
      </w:r>
    </w:p>
    <w:p>
      <w:pPr>
        <w:pStyle w:val="TOC1"/>
        <w:rPr/>
      </w:pPr>
      <w:r>
        <w:rPr/>
        <w:t>Available Information</w:t>
        <w:tab/>
        <w:t>3</w:t>
      </w:r>
    </w:p>
    <w:p>
      <w:pPr>
        <w:pStyle w:val="TOC1"/>
        <w:rPr/>
      </w:pPr>
      <w:r>
        <w:rPr/>
        <w:t>Incorporation of Certain Documents by Reference</w:t>
        <w:tab/>
        <w:t>3</w:t>
      </w:r>
    </w:p>
    <w:p>
      <w:pPr>
        <w:pStyle w:val="TOC1"/>
        <w:rPr/>
      </w:pPr>
      <w:r>
        <w:rPr/>
        <w:t>Forward-Looking Statements</w:t>
        <w:tab/>
        <w:t>4</w:t>
      </w:r>
    </w:p>
    <w:p>
      <w:pPr>
        <w:pStyle w:val="TOC1"/>
        <w:rPr/>
      </w:pPr>
      <w:r>
        <w:rPr/>
        <w:t>Notice to Investors</w:t>
        <w:tab/>
        <w:t>5</w:t>
      </w:r>
    </w:p>
    <w:p>
      <w:pPr>
        <w:pStyle w:val="TOC1"/>
        <w:rPr/>
      </w:pPr>
      <w:r>
        <w:rPr/>
        <w:t>Summary</w:t>
        <w:tab/>
        <w:t>10</w:t>
      </w:r>
    </w:p>
    <w:p>
      <w:pPr>
        <w:pStyle w:val="TOC1"/>
        <w:rPr/>
      </w:pPr>
      <w:r>
        <w:rPr/>
        <w:t>Risk Factors</w:t>
        <w:tab/>
        <w:t>23</w:t>
      </w:r>
    </w:p>
    <w:p>
      <w:pPr>
        <w:pStyle w:val="TOC1"/>
        <w:rPr/>
      </w:pPr>
      <w:r>
        <w:rPr/>
        <w:t>Use of Proceeds</w:t>
        <w:tab/>
        <w:t>25</w:t>
      </w:r>
    </w:p>
    <w:p>
      <w:pPr>
        <w:pStyle w:val="TOC1"/>
        <w:rPr/>
      </w:pPr>
      <w:r>
        <w:rPr/>
        <w:t>Formation of the Trust</w:t>
        <w:tab/>
        <w:t>26</w:t>
      </w:r>
    </w:p>
    <w:p>
      <w:pPr>
        <w:pStyle w:val="TOC1"/>
        <w:rPr/>
      </w:pPr>
      <w:r>
        <w:rPr/>
        <w:t>Description of the Swap Counterparty and the Callholder</w:t>
        <w:tab/>
        <w:t>26</w:t>
      </w:r>
    </w:p>
    <w:p>
      <w:pPr>
        <w:pStyle w:val="TOC1"/>
        <w:rPr/>
      </w:pPr>
      <w:r>
        <w:rPr/>
        <w:t>Description of the Certificates</w:t>
        <w:tab/>
        <w:t>27</w:t>
      </w:r>
    </w:p>
    <w:p>
      <w:pPr>
        <w:pStyle w:val="TOC1"/>
        <w:rPr/>
      </w:pPr>
      <w:r>
        <w:rPr/>
        <w:t>Description of the Trust Agreement</w:t>
        <w:tab/>
        <w:t>34</w:t>
      </w:r>
    </w:p>
    <w:p>
      <w:pPr>
        <w:pStyle w:val="TOC1"/>
        <w:rPr/>
      </w:pPr>
      <w:r>
        <w:rPr/>
        <w:t>Description of the Senior Notes</w:t>
        <w:tab/>
        <w:t>38</w:t>
      </w:r>
    </w:p>
    <w:p>
      <w:pPr>
        <w:pStyle w:val="TOC1"/>
        <w:rPr/>
      </w:pPr>
      <w:r>
        <w:rPr/>
        <w:t>Description of the Currency Swap</w:t>
        <w:tab/>
        <w:t>45</w:t>
      </w:r>
    </w:p>
    <w:p>
      <w:pPr>
        <w:pStyle w:val="TOC1"/>
        <w:rPr/>
      </w:pPr>
      <w:r>
        <w:rPr/>
        <w:t>Description of the Call Option</w:t>
        <w:tab/>
        <w:t>45</w:t>
      </w:r>
    </w:p>
    <w:p>
      <w:pPr>
        <w:pStyle w:val="TOC1"/>
        <w:rPr/>
      </w:pPr>
      <w:r>
        <w:rPr/>
        <w:t>Certain United States Income Tax Considerations</w:t>
        <w:tab/>
        <w:t>47</w:t>
      </w:r>
    </w:p>
    <w:p>
      <w:pPr>
        <w:pStyle w:val="TOC1"/>
        <w:rPr/>
      </w:pPr>
      <w:r>
        <w:rPr/>
        <w:t>ERISA Considerations</w:t>
        <w:tab/>
        <w:t>50</w:t>
      </w:r>
    </w:p>
    <w:p>
      <w:pPr>
        <w:pStyle w:val="TOC1"/>
        <w:rPr/>
      </w:pPr>
      <w:r>
        <w:rPr/>
        <w:t>Plan of Distribution</w:t>
        <w:tab/>
        <w:t>53</w:t>
      </w:r>
    </w:p>
    <w:p>
      <w:pPr>
        <w:pStyle w:val="TOC1"/>
        <w:rPr/>
      </w:pPr>
      <w:r>
        <w:rPr/>
        <w:t>Legal Matters</w:t>
        <w:tab/>
        <w:t>55</w:t>
      </w:r>
    </w:p>
    <w:p>
      <w:pPr>
        <w:pStyle w:val="TOC1"/>
        <w:rPr/>
      </w:pPr>
      <w:r>
        <w:rPr/>
        <w:t>Independent Auditors</w:t>
        <w:tab/>
        <w:t>55</w:t>
      </w:r>
    </w:p>
    <w:p>
      <w:pPr>
        <w:pStyle w:val="Normal"/>
        <w:spacing w:before="0" w:after="120"/>
        <w:rPr>
          <w:lang w:eastAsia="en-US"/>
        </w:rPr>
      </w:pPr>
      <w:r>
        <w:rPr>
          <w:lang w:eastAsia="en-US"/>
        </w:rPr>
      </w:r>
    </w:p>
    <w:p>
      <w:pPr>
        <w:pStyle w:val="Normal"/>
        <w:rPr>
          <w:i/>
          <w:i/>
          <w:lang w:eastAsia="en-US"/>
        </w:rPr>
      </w:pPr>
      <w:r>
        <w:rPr>
          <w:i/>
          <w:lang w:eastAsia="en-US"/>
        </w:rPr>
      </w:r>
    </w:p>
    <w:p>
      <w:pPr>
        <w:pStyle w:val="Normal"/>
        <w:spacing w:before="0" w:after="60"/>
        <w:rPr>
          <w:i/>
          <w:i/>
          <w:lang w:eastAsia="en-US"/>
        </w:rPr>
      </w:pPr>
      <w:r>
        <w:rPr>
          <w:i/>
          <w:lang w:eastAsia="en-US"/>
        </w:rPr>
      </w:r>
    </w:p>
    <w:p>
      <w:pPr>
        <w:pStyle w:val="BodyText"/>
        <w:tabs>
          <w:tab w:val="clear" w:pos="720"/>
          <w:tab w:val="right" w:pos="4320" w:leader="none"/>
        </w:tabs>
        <w:spacing w:before="0" w:after="0"/>
        <w:ind w:hanging="0" w:end="0"/>
        <w:rPr>
          <w:sz w:val="20"/>
          <w:lang w:eastAsia="en-US"/>
        </w:rPr>
      </w:pPr>
      <w:r>
        <w:rPr>
          <w:i/>
          <w:sz w:val="20"/>
          <w:u w:val="double"/>
          <w:lang w:eastAsia="en-US"/>
        </w:rPr>
        <w:tab/>
      </w:r>
    </w:p>
    <w:p>
      <w:pPr>
        <w:pStyle w:val="BodyText"/>
        <w:tabs>
          <w:tab w:val="clear" w:pos="720"/>
          <w:tab w:val="right" w:pos="4320" w:leader="none"/>
        </w:tabs>
        <w:spacing w:before="0" w:after="0"/>
        <w:ind w:hanging="0" w:end="0"/>
        <w:rPr>
          <w:b/>
          <w:sz w:val="20"/>
          <w:lang w:eastAsia="en-US"/>
        </w:rPr>
      </w:pPr>
      <w:r>
        <w:br w:type="column"/>
      </w:r>
      <w:r>
        <w:rPr>
          <w:b/>
          <w:i/>
          <w:sz w:val="20"/>
          <w:u w:val="double"/>
          <w:lang w:eastAsia="en-US"/>
        </w:rPr>
        <w:tab/>
      </w:r>
    </w:p>
    <w:p>
      <w:pPr>
        <w:pStyle w:val="BodyText"/>
        <w:spacing w:before="1080" w:after="0"/>
        <w:ind w:hanging="0" w:end="0"/>
        <w:jc w:val="center"/>
        <w:rPr/>
      </w:pPr>
      <w:r>
        <w:rPr>
          <w:b/>
          <w:sz w:val="28"/>
          <w:lang w:eastAsia="en-US"/>
        </w:rPr>
        <w:t>$[350,000,000]</w:t>
        <w:br/>
      </w:r>
      <w:r>
        <w:rPr>
          <w:b/>
          <w:sz w:val="32"/>
          <w:lang w:eastAsia="en-US"/>
        </w:rPr>
        <w:t>Enron Pass-Through Asset Trust 2000-1</w:t>
      </w:r>
      <w:r>
        <w:rPr>
          <w:b/>
          <w:sz w:val="28"/>
          <w:lang w:eastAsia="en-US"/>
        </w:rPr>
        <w:br/>
      </w:r>
      <w:r>
        <w:rPr>
          <w:b/>
          <w:lang w:eastAsia="en-US"/>
        </w:rPr>
        <w:t>Issuer</w:t>
      </w:r>
    </w:p>
    <w:p>
      <w:pPr>
        <w:pStyle w:val="BodyText"/>
        <w:ind w:hanging="0" w:end="0"/>
        <w:jc w:val="center"/>
        <w:rPr/>
      </w:pPr>
      <w:r>
        <w:rPr>
          <w:b/>
          <w:sz w:val="28"/>
          <w:lang w:eastAsia="en-US"/>
        </w:rPr>
        <w:t xml:space="preserve">     </w:t>
      </w:r>
      <w:r>
        <w:rPr>
          <w:b/>
          <w:sz w:val="28"/>
          <w:lang w:eastAsia="en-US"/>
        </w:rPr>
        <w:t>% Pass-Through Asset Trust</w:t>
        <w:br/>
        <w:t>Securities (“PATS</w:t>
      </w:r>
      <w:r>
        <w:rPr>
          <w:rFonts w:cs="Times New Roman Bold" w:ascii="Times New Roman Bold" w:hAnsi="Times New Roman Bold"/>
          <w:b/>
          <w:sz w:val="16"/>
          <w:vertAlign w:val="superscript"/>
          <w:lang w:eastAsia="en-US"/>
        </w:rPr>
        <w:t>SM</w:t>
      </w:r>
      <w:r>
        <w:rPr>
          <w:b/>
          <w:sz w:val="28"/>
          <w:lang w:eastAsia="en-US"/>
        </w:rPr>
        <w:t>”)</w:t>
        <w:br/>
        <w:t>Due June 15, 2003</w:t>
      </w:r>
    </w:p>
    <w:p>
      <w:pPr>
        <w:pStyle w:val="BodyText"/>
        <w:tabs>
          <w:tab w:val="clear" w:pos="720"/>
          <w:tab w:val="right" w:pos="4320" w:leader="none"/>
        </w:tabs>
        <w:spacing w:before="480" w:after="0"/>
        <w:ind w:hanging="0" w:end="0"/>
        <w:jc w:val="center"/>
        <w:rPr>
          <w:i/>
          <w:i/>
          <w:sz w:val="20"/>
          <w:u w:val="thick"/>
          <w:lang w:eastAsia="en-US"/>
        </w:rPr>
      </w:pPr>
      <w:r>
        <w:rPr>
          <w:i/>
          <w:sz w:val="20"/>
          <w:u w:val="thick"/>
          <w:lang w:eastAsia="en-US"/>
        </w:rPr>
        <w:t>                      </w:t>
      </w:r>
    </w:p>
    <w:p>
      <w:pPr>
        <w:pStyle w:val="BodyText"/>
        <w:spacing w:before="480" w:after="0"/>
        <w:ind w:hanging="0" w:end="0"/>
        <w:jc w:val="center"/>
        <w:rPr/>
      </w:pPr>
      <w:r>
        <w:rPr>
          <w:b/>
          <w:i/>
          <w:sz w:val="28"/>
          <w:lang w:eastAsia="en-US"/>
        </w:rPr>
        <w:t>CONFIDENTIAL</w:t>
        <w:br/>
        <w:t>OFFERING CIRCULAR</w:t>
        <w:br/>
        <w:br/>
      </w:r>
      <w:r>
        <w:rPr>
          <w:b/>
          <w:sz w:val="28"/>
          <w:lang w:eastAsia="en-US"/>
        </w:rPr>
        <w:t>June    , 2000</w:t>
      </w:r>
    </w:p>
    <w:p>
      <w:pPr>
        <w:pStyle w:val="BodyText"/>
        <w:tabs>
          <w:tab w:val="clear" w:pos="720"/>
          <w:tab w:val="right" w:pos="4320" w:leader="none"/>
        </w:tabs>
        <w:spacing w:before="480" w:after="1080"/>
        <w:ind w:hanging="0" w:end="0"/>
        <w:jc w:val="center"/>
        <w:rPr>
          <w:i/>
          <w:i/>
          <w:sz w:val="20"/>
          <w:u w:val="thick"/>
          <w:lang w:eastAsia="en-US"/>
        </w:rPr>
      </w:pPr>
      <w:r>
        <w:rPr>
          <w:i/>
          <w:sz w:val="20"/>
          <w:u w:val="thick"/>
          <w:lang w:eastAsia="en-US"/>
        </w:rPr>
        <w:t>                      </w:t>
      </w:r>
    </w:p>
    <w:p>
      <w:pPr>
        <w:pStyle w:val="BodyText"/>
        <w:spacing w:before="1740" w:after="0"/>
        <w:ind w:hanging="0" w:end="0"/>
        <w:jc w:val="center"/>
        <w:rPr>
          <w:b/>
          <w:sz w:val="28"/>
          <w:lang w:eastAsia="en-US"/>
        </w:rPr>
      </w:pPr>
      <w:r>
        <w:rPr>
          <w:b/>
          <w:sz w:val="28"/>
          <w:lang w:eastAsia="en-US"/>
        </w:rPr>
        <w:t>UBS WARBURG LLC</w:t>
      </w:r>
    </w:p>
    <w:p>
      <w:pPr>
        <w:pStyle w:val="BodyText"/>
        <w:ind w:hanging="0" w:end="0"/>
        <w:jc w:val="center"/>
        <w:rPr>
          <w:b/>
          <w:sz w:val="28"/>
          <w:lang w:eastAsia="en-US"/>
        </w:rPr>
      </w:pPr>
      <w:r>
        <w:rPr>
          <w:b/>
          <w:sz w:val="28"/>
          <w:lang w:eastAsia="en-US"/>
        </w:rPr>
      </w:r>
    </w:p>
    <w:p>
      <w:pPr>
        <w:pStyle w:val="BodyText"/>
        <w:tabs>
          <w:tab w:val="clear" w:pos="720"/>
          <w:tab w:val="right" w:pos="4320" w:leader="none"/>
        </w:tabs>
        <w:spacing w:before="1680" w:after="0"/>
        <w:ind w:hanging="0" w:end="0"/>
        <w:rPr>
          <w:b/>
        </w:rPr>
      </w:pPr>
      <w:r>
        <w:rPr>
          <w:b/>
          <w:i/>
          <w:sz w:val="20"/>
          <w:u w:val="double"/>
          <w:lang w:eastAsia="en-US"/>
        </w:rPr>
        <w:tab/>
      </w:r>
    </w:p>
    <w:p>
      <w:pPr>
        <w:pStyle w:val="Normal"/>
        <w:rPr>
          <w:b/>
        </w:rPr>
      </w:pPr>
      <w:r>
        <w:rPr>
          <w:b/>
        </w:rPr>
      </w:r>
    </w:p>
    <w:sectPr>
      <w:headerReference w:type="default" r:id="rId18"/>
      <w:headerReference w:type="first" r:id="rId19"/>
      <w:footerReference w:type="default" r:id="rId20"/>
      <w:footerReference w:type="first" r:id="rId21"/>
      <w:type w:val="nextPage"/>
      <w:pgSz w:w="12240" w:h="15840"/>
      <w:pgMar w:left="1440" w:right="1440" w:gutter="0" w:header="720" w:top="776" w:footer="720" w:bottom="776"/>
      <w:pgNumType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II02620">
    <w:charset w:val="00" w:characterSet="windows-1252"/>
    <w:family w:val="auto"/>
    <w:pitch w:val="default"/>
  </w:font>
  <w:font w:name="Times New Roman Bold">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2</w:t>
    </w:r>
    <w:r>
      <w:rPr>
        <w:sz w:val="20"/>
      </w:rPr>
      <w:fldChar w:fldCharType="end"/>
    </w:r>
  </w:p>
  <w:p>
    <w:pPr>
      <w:pStyle w:val="DocID"/>
      <w:rPr/>
    </w:pPr>
    <w:r>
      <w:rPr/>
      <w:t>63234642.02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63234642.01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63234642.02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9</w:t>
    </w:r>
    <w:r>
      <w:rPr>
        <w:sz w:val="20"/>
      </w:rPr>
      <w:fldChar w:fldCharType="end"/>
    </w:r>
  </w:p>
  <w:p>
    <w:pPr>
      <w:pStyle w:val="DocID"/>
      <w:rPr/>
    </w:pPr>
    <w:r>
      <w:rPr/>
      <w:t>63234642.02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63234642.02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20</w:t>
    </w:r>
    <w:r>
      <w:rPr>
        <w:sz w:val="20"/>
      </w:rPr>
      <w:fldChar w:fldCharType="end"/>
    </w:r>
  </w:p>
  <w:p>
    <w:pPr>
      <w:pStyle w:val="DocID"/>
      <w:rPr/>
    </w:pPr>
    <w:r>
      <w:rPr/>
      <w:t>63234642.02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63234642.02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53</w:t>
    </w:r>
    <w:r>
      <w:rPr>
        <w:sz w:val="20"/>
      </w:rPr>
      <w:fldChar w:fldCharType="end"/>
    </w:r>
  </w:p>
  <w:p>
    <w:pPr>
      <w:pStyle w:val="DocID"/>
      <w:rPr/>
    </w:pPr>
    <w:r>
      <w:rPr/>
      <w:t>63234642.02</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DocID"/>
      <w:rPr/>
    </w:pPr>
    <w:r>
      <w:rPr/>
      <w:t>63234642.01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0080" w:end="0"/>
      <w:rPr>
        <w:sz w:val="18"/>
      </w:rPr>
    </w:pPr>
    <w:r>
      <w:rPr>
        <w:sz w:val="18"/>
      </w:rPr>
      <w:t>WSPR</w:t>
    </w:r>
  </w:p>
  <w:p>
    <w:pPr>
      <w:pStyle w:val="Header"/>
      <w:ind w:start="10080" w:end="0"/>
      <w:rPr>
        <w:sz w:val="18"/>
      </w:rPr>
    </w:pPr>
    <w:r>
      <w:rPr>
        <w:sz w:val="18"/>
      </w:rPr>
      <w:t>DRAFT</w:t>
    </w:r>
  </w:p>
  <w:p>
    <w:pPr>
      <w:pStyle w:val="Header"/>
      <w:ind w:start="10080" w:end="0"/>
      <w:rPr>
        <w:sz w:val="18"/>
      </w:rPr>
    </w:pPr>
    <w:r>
      <w:rPr>
        <w:sz w:val="18"/>
      </w:rPr>
      <w:t>5/30/00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0080" w:end="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doNotExpandShiftReturn/>
    <w:compatSetting w:name="compatibilityMode" w:uri="http://schemas.microsoft.com/office/word" w:val="11"/>
  </w:compat>
  <w:docVars>
    <w:docVar w:name="CurrentStyles"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b/>
      <w:caps/>
      <w:color w:val="0000FF"/>
      <w:kern w:val="2"/>
      <w:lang w:eastAsia="en-US"/>
    </w:rPr>
  </w:style>
  <w:style w:type="paragraph" w:styleId="Heading2">
    <w:name w:val="heading 2"/>
    <w:basedOn w:val="Normal"/>
    <w:next w:val="Normal"/>
    <w:qFormat/>
    <w:pPr>
      <w:keepNext w:val="true"/>
      <w:numPr>
        <w:ilvl w:val="1"/>
        <w:numId w:val="1"/>
      </w:numPr>
      <w:spacing w:before="240" w:after="0"/>
      <w:outlineLvl w:val="1"/>
    </w:pPr>
    <w:rPr>
      <w:b/>
      <w:lang w:eastAsia="en-US"/>
    </w:rPr>
  </w:style>
  <w:style w:type="paragraph" w:styleId="Heading3">
    <w:name w:val="heading 3"/>
    <w:basedOn w:val="Normal"/>
    <w:next w:val="Normal"/>
    <w:qFormat/>
    <w:pPr>
      <w:keepNext w:val="true"/>
      <w:numPr>
        <w:ilvl w:val="2"/>
        <w:numId w:val="1"/>
      </w:numPr>
      <w:spacing w:before="240" w:after="0"/>
      <w:ind w:hanging="0" w:start="360" w:end="0"/>
      <w:outlineLvl w:val="2"/>
    </w:pPr>
    <w:rPr>
      <w:i/>
      <w:lang w:eastAsia="en-US"/>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style>
  <w:style w:type="paragraph" w:styleId="Heading9">
    <w:name w:val="heading 9"/>
    <w:basedOn w:val="Normal"/>
    <w:next w:val="Normal"/>
    <w:qFormat/>
    <w:pPr>
      <w:numPr>
        <w:ilvl w:val="8"/>
        <w:numId w:val="1"/>
      </w:numPr>
      <w:spacing w:before="240" w:after="0"/>
      <w:ind w:hanging="374" w:start="5126"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color w:val="auto"/>
      <w:sz w:val="24"/>
      <w:u w:val="none"/>
    </w:rPr>
  </w:style>
  <w:style w:type="character" w:styleId="WW8Num11z2">
    <w:name w:val="WW8Num11z2"/>
    <w:qFormat/>
    <w:rPr>
      <w:rFonts w:ascii="Times New Roman" w:hAnsi="Times New Roman" w:cs="Times New Roman"/>
      <w:b w:val="false"/>
      <w:i w:val="false"/>
      <w:strike w:val="false"/>
      <w:dstrike w:val="false"/>
      <w:outline w:val="false"/>
      <w:shadow w:val="false"/>
      <w:color w:val="auto"/>
      <w:position w:val="0"/>
      <w:sz w:val="24"/>
      <w:sz w:val="24"/>
      <w:u w:val="none"/>
      <w:vertAlign w:val="baseline"/>
    </w:rPr>
  </w:style>
  <w:style w:type="character" w:styleId="WW8Num14z0">
    <w:name w:val="WW8Num14z0"/>
    <w:qFormat/>
    <w:rPr>
      <w:rFonts w:ascii="CG Times;Times New Roman" w:hAnsi="CG Times;Times New Roman" w:cs="CG Times;Times New Roman"/>
      <w:b w:val="false"/>
      <w:i w:val="false"/>
      <w:sz w:val="20"/>
    </w:rPr>
  </w:style>
  <w:style w:type="character" w:styleId="WW8Num14z1">
    <w:name w:val="WW8Num14z1"/>
    <w:qFormat/>
    <w:rPr>
      <w:b w:val="false"/>
      <w:i w:val="false"/>
      <w:sz w:val="20"/>
    </w:rPr>
  </w:style>
  <w:style w:type="character" w:styleId="WW8Num14z2">
    <w:name w:val="WW8Num14z2"/>
    <w:qFormat/>
    <w:rPr>
      <w:b w:val="false"/>
      <w:i w:val="false"/>
      <w:sz w:val="18"/>
    </w:rPr>
  </w:style>
  <w:style w:type="character" w:styleId="WW8Num14z8">
    <w:name w:val="WW8Num14z8"/>
    <w:qFormat/>
    <w:rPr>
      <w:b/>
      <w:i w:val="false"/>
      <w:caps/>
      <w:sz w:val="22"/>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qFormat/>
    <w:pPr>
      <w:spacing w:before="0" w:after="360"/>
      <w:jc w:val="center"/>
    </w:pPr>
    <w:rPr>
      <w:caps/>
      <w:color w:val="0000FF"/>
    </w:rPr>
  </w:style>
  <w:style w:type="paragraph" w:styleId="SchedHead">
    <w:name w:val="SchedHead"/>
    <w:basedOn w:val="Normal"/>
    <w:qFormat/>
    <w:pPr>
      <w:spacing w:before="0" w:after="360"/>
      <w:jc w:val="end"/>
    </w:pPr>
    <w:rPr>
      <w:color w:val="0000FF"/>
    </w:rPr>
  </w:style>
  <w:style w:type="paragraph" w:styleId="TOC1">
    <w:name w:val="toc 1"/>
    <w:basedOn w:val="Normal"/>
    <w:next w:val="Normal"/>
    <w:pPr>
      <w:keepLines/>
      <w:tabs>
        <w:tab w:val="clear" w:pos="720"/>
        <w:tab w:val="right" w:pos="4320" w:leader="dot"/>
      </w:tabs>
      <w:ind w:hanging="360" w:start="360" w:end="360"/>
    </w:pPr>
    <w:rPr>
      <w:sz w:val="20"/>
      <w:lang w:val="en-CA"/>
    </w:rPr>
  </w:style>
  <w:style w:type="paragraph" w:styleId="TOC2">
    <w:name w:val="toc 2"/>
    <w:basedOn w:val="Normal"/>
    <w:next w:val="Normal"/>
    <w:pPr>
      <w:keepLines/>
      <w:tabs>
        <w:tab w:val="clear" w:pos="720"/>
        <w:tab w:val="right" w:pos="9346" w:leader="dot"/>
      </w:tabs>
      <w:spacing w:before="60" w:after="0"/>
      <w:ind w:hanging="1440" w:start="1440" w:end="720"/>
    </w:pPr>
    <w:rPr/>
  </w:style>
  <w:style w:type="paragraph" w:styleId="TOC3">
    <w:name w:val="toc 3"/>
    <w:basedOn w:val="Normal"/>
    <w:next w:val="Normal"/>
    <w:pPr>
      <w:keepLines/>
      <w:tabs>
        <w:tab w:val="clear" w:pos="720"/>
        <w:tab w:val="right" w:pos="9346" w:leader="dot"/>
      </w:tabs>
      <w:ind w:hanging="504" w:start="1944" w:end="720"/>
    </w:pPr>
    <w:rPr>
      <w:lang w:val="en-CA"/>
    </w:rPr>
  </w:style>
  <w:style w:type="paragraph" w:styleId="TOC4">
    <w:name w:val="toc 4"/>
    <w:basedOn w:val="Normal"/>
    <w:next w:val="Normal"/>
    <w:pPr>
      <w:keepLines/>
      <w:tabs>
        <w:tab w:val="clear" w:pos="720"/>
        <w:tab w:val="right" w:pos="2160" w:leader="none"/>
        <w:tab w:val="right" w:pos="9346" w:leader="dot"/>
      </w:tabs>
      <w:ind w:hanging="979" w:start="2419" w:end="720"/>
    </w:pPr>
    <w:rPr>
      <w:lang w:val="en-CA"/>
    </w:rPr>
  </w:style>
  <w:style w:type="paragraph" w:styleId="TOC5">
    <w:name w:val="toc 5"/>
    <w:basedOn w:val="Normal"/>
    <w:next w:val="Normal"/>
    <w:pPr>
      <w:keepLines/>
      <w:tabs>
        <w:tab w:val="clear" w:pos="720"/>
        <w:tab w:val="right" w:pos="9346" w:leader="dot"/>
      </w:tabs>
      <w:ind w:hanging="547" w:start="2880" w:end="720"/>
    </w:pPr>
    <w:rPr>
      <w:lang w:val="en-CA"/>
    </w:rPr>
  </w:style>
  <w:style w:type="paragraph" w:styleId="TOC6">
    <w:name w:val="toc 6"/>
    <w:basedOn w:val="Normal"/>
    <w:next w:val="Normal"/>
    <w:pPr>
      <w:keepLines/>
      <w:tabs>
        <w:tab w:val="clear" w:pos="720"/>
        <w:tab w:val="right" w:pos="9346" w:leader="dot"/>
      </w:tabs>
      <w:ind w:hanging="547" w:start="3427" w:end="720"/>
    </w:pPr>
    <w:rPr>
      <w:lang w:val="en-CA"/>
    </w:rPr>
  </w:style>
  <w:style w:type="paragraph" w:styleId="TOC7">
    <w:name w:val="toc 7"/>
    <w:basedOn w:val="Normal"/>
    <w:next w:val="Normal"/>
    <w:pPr>
      <w:keepLines/>
      <w:tabs>
        <w:tab w:val="clear" w:pos="720"/>
        <w:tab w:val="right" w:pos="9346" w:leader="dot"/>
      </w:tabs>
      <w:ind w:hanging="533" w:start="3960" w:end="720"/>
    </w:pPr>
    <w:rPr>
      <w:lang w:val="en-CA"/>
    </w:rPr>
  </w:style>
  <w:style w:type="paragraph" w:styleId="TOC8">
    <w:name w:val="toc 8"/>
    <w:basedOn w:val="Normal"/>
    <w:next w:val="Normal"/>
    <w:pPr>
      <w:keepLines/>
      <w:tabs>
        <w:tab w:val="clear" w:pos="720"/>
        <w:tab w:val="right" w:pos="9346" w:leader="dot"/>
      </w:tabs>
      <w:ind w:hanging="533" w:start="3960" w:end="720"/>
    </w:pPr>
    <w:rPr>
      <w:lang w:val="en-CA"/>
    </w:rPr>
  </w:style>
  <w:style w:type="paragraph" w:styleId="TOC9">
    <w:name w:val="toc 9"/>
    <w:basedOn w:val="Normal"/>
    <w:next w:val="Normal"/>
    <w:pPr>
      <w:keepLines/>
      <w:tabs>
        <w:tab w:val="clear" w:pos="720"/>
        <w:tab w:val="right" w:pos="9346" w:leader="dot"/>
      </w:tabs>
      <w:ind w:hanging="533" w:start="3960" w:end="720"/>
    </w:pPr>
    <w:rPr>
      <w:lang w:val="en-CA"/>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FootnoteText">
    <w:name w:val="footnote text"/>
    <w:basedOn w:val="Normal"/>
    <w:pPr>
      <w:spacing w:before="60" w:after="0"/>
      <w:ind w:hanging="180" w:start="180" w:end="0"/>
    </w:pPr>
    <w:rPr>
      <w:sz w:val="20"/>
    </w:rPr>
  </w:style>
  <w:style w:type="paragraph" w:styleId="Body2">
    <w:name w:val="Body2"/>
    <w:basedOn w:val="Heading2"/>
    <w:qFormat/>
    <w:pPr>
      <w:numPr>
        <w:ilvl w:val="0"/>
        <w:numId w:val="0"/>
      </w:numPr>
      <w:outlineLvl w:val="9"/>
    </w:pPr>
    <w:rPr>
      <w:color w:val="auto"/>
    </w:rPr>
  </w:style>
  <w:style w:type="paragraph" w:styleId="Body3">
    <w:name w:val="Body3"/>
    <w:basedOn w:val="Heading3"/>
    <w:qFormat/>
    <w:pPr>
      <w:numPr>
        <w:ilvl w:val="0"/>
        <w:numId w:val="0"/>
      </w:numPr>
      <w:tabs>
        <w:tab w:val="clear" w:pos="720"/>
        <w:tab w:val="left" w:pos="1901" w:leader="none"/>
      </w:tabs>
      <w:ind w:hanging="0" w:start="360"/>
      <w:outlineLvl w:val="9"/>
    </w:pPr>
    <w:rPr>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4w">
    <w:name w:val="Body4w/#"/>
    <w:basedOn w:val="Heading4"/>
    <w:qFormat/>
    <w:pPr>
      <w:numPr>
        <w:ilvl w:val="0"/>
        <w:numId w:val="0"/>
      </w:numPr>
      <w:ind w:firstLine="720" w:start="720"/>
      <w:outlineLvl w:val="9"/>
    </w:pPr>
    <w:rPr/>
  </w:style>
  <w:style w:type="paragraph" w:styleId="slugline">
    <w:name w:val="slugline"/>
    <w:basedOn w:val="Normal"/>
    <w:qFormat/>
    <w:pPr>
      <w:pBdr>
        <w:bottom w:val="single" w:sz="8" w:space="1" w:color="000000"/>
      </w:pBdr>
      <w:ind w:hanging="0" w:start="3600" w:end="3600"/>
      <w:jc w:val="center"/>
    </w:pPr>
    <w:rPr>
      <w:position w:val="-12"/>
      <w:sz w:val="14"/>
      <w:lang w:eastAsia="en-US"/>
    </w:rPr>
  </w:style>
  <w:style w:type="paragraph" w:styleId="coverbody">
    <w:name w:val="coverbody"/>
    <w:basedOn w:val="Normal"/>
    <w:qFormat/>
    <w:pPr>
      <w:spacing w:before="60" w:after="0"/>
      <w:ind w:firstLine="360" w:start="0" w:end="108"/>
    </w:pPr>
    <w:rPr>
      <w:sz w:val="18"/>
      <w:lang w:eastAsia="en-US"/>
    </w:rPr>
  </w:style>
  <w:style w:type="paragraph" w:styleId="centerbold">
    <w:name w:val="centerbold"/>
    <w:basedOn w:val="Normal"/>
    <w:qFormat/>
    <w:pPr>
      <w:keepNext w:val="true"/>
      <w:spacing w:before="240" w:after="0"/>
      <w:jc w:val="center"/>
    </w:pPr>
    <w:rPr>
      <w:b/>
      <w:sz w:val="24"/>
      <w:lang w:eastAsia="en-US"/>
    </w:rPr>
  </w:style>
  <w:style w:type="paragraph" w:styleId="hangingindent">
    <w:name w:val="hanging indent"/>
    <w:basedOn w:val="Normal"/>
    <w:qFormat/>
    <w:pPr>
      <w:spacing w:before="240" w:after="0"/>
      <w:ind w:hanging="540" w:start="1260" w:end="0"/>
    </w:pPr>
    <w:rPr>
      <w:lang w:eastAsia="en-US"/>
    </w:rPr>
  </w:style>
  <w:style w:type="paragraph" w:styleId="Indent10">
    <w:name w:val="Indent10"/>
    <w:basedOn w:val="Normal"/>
    <w:qFormat/>
    <w:pPr>
      <w:spacing w:before="240" w:after="0"/>
      <w:ind w:firstLine="720" w:start="1440" w:end="0"/>
    </w:pPr>
    <w:rPr/>
  </w:style>
  <w:style w:type="paragraph" w:styleId="indent5">
    <w:name w:val="indent5"/>
    <w:basedOn w:val="Normal"/>
    <w:qFormat/>
    <w:pPr>
      <w:spacing w:before="240" w:after="0"/>
      <w:ind w:firstLine="720" w:start="720" w:end="0"/>
    </w:pPr>
    <w:rPr/>
  </w:style>
  <w:style w:type="paragraph" w:styleId="Normal12Before">
    <w:name w:val="Normal 12 Before"/>
    <w:basedOn w:val="Normal"/>
    <w:qFormat/>
    <w:pPr>
      <w:spacing w:before="240" w:after="0"/>
    </w:pPr>
    <w:rPr>
      <w:sz w:val="24"/>
    </w:rPr>
  </w:style>
  <w:style w:type="paragraph" w:styleId="quote">
    <w:name w:val="quote"/>
    <w:basedOn w:val="Normal"/>
    <w:qFormat/>
    <w:pPr>
      <w:spacing w:before="240" w:after="0"/>
      <w:ind w:hanging="0" w:start="1440" w:end="1440"/>
    </w:pPr>
    <w:rPr>
      <w:sz w:val="24"/>
    </w:rPr>
  </w:style>
  <w:style w:type="paragraph" w:styleId="sigline">
    <w:name w:val="sigline"/>
    <w:basedOn w:val="Normal"/>
    <w:qFormat/>
    <w:pPr>
      <w:keepNext w:val="true"/>
      <w:keepLines/>
      <w:tabs>
        <w:tab w:val="clear" w:pos="720"/>
        <w:tab w:val="right" w:pos="9216" w:leader="none"/>
      </w:tabs>
      <w:spacing w:before="360" w:after="0"/>
      <w:ind w:hanging="0" w:start="4320" w:end="0"/>
    </w:pPr>
    <w:rPr>
      <w:sz w:val="24"/>
    </w:rPr>
  </w:style>
  <w:style w:type="paragraph" w:styleId="Date">
    <w:name w:val="Date"/>
    <w:basedOn w:val="Normal"/>
    <w:next w:val="Normal"/>
    <w:qFormat/>
    <w:pPr/>
    <w:rPr/>
  </w:style>
  <w:style w:type="paragraph" w:styleId="MailingInstructions">
    <w:name w:val="Mailing Instructions"/>
    <w:basedOn w:val="Normal"/>
    <w:qFormat/>
    <w:pPr/>
    <w:rPr/>
  </w:style>
  <w:style w:type="paragraph" w:styleId="Byline">
    <w:name w:val="Byline"/>
    <w:basedOn w:val="BodyText"/>
    <w:qFormat/>
    <w:pPr/>
    <w:rPr/>
  </w:style>
  <w:style w:type="paragraph" w:styleId="ReferenceLine">
    <w:name w:val="Reference Line"/>
    <w:basedOn w:val="BodyText"/>
    <w:qFormat/>
    <w:pPr/>
    <w:rPr/>
  </w:style>
  <w:style w:type="paragraph" w:styleId="boldbody">
    <w:name w:val="boldbody"/>
    <w:basedOn w:val="BodyText"/>
    <w:qFormat/>
    <w:pPr/>
    <w:rPr>
      <w:b/>
      <w:lang w:eastAsia="en-US"/>
    </w:rPr>
  </w:style>
  <w:style w:type="paragraph" w:styleId="tablenote">
    <w:name w:val="tablenote"/>
    <w:basedOn w:val="Normal"/>
    <w:qFormat/>
    <w:pPr>
      <w:spacing w:before="60" w:after="0"/>
      <w:ind w:hanging="446" w:start="446" w:end="0"/>
    </w:pPr>
    <w:rPr>
      <w:sz w:val="18"/>
      <w:lang w:eastAsia="en-US"/>
    </w:rPr>
  </w:style>
  <w:style w:type="paragraph" w:styleId="indentbody">
    <w:name w:val="indentbody"/>
    <w:basedOn w:val="BodyText"/>
    <w:qFormat/>
    <w:pPr/>
    <w:rPr>
      <w:i/>
      <w:lang w:eastAsia="en-US"/>
    </w:rPr>
  </w:style>
  <w:style w:type="paragraph" w:styleId="boldflush">
    <w:name w:val="boldflush"/>
    <w:basedOn w:val="boldbody"/>
    <w:qFormat/>
    <w:pPr>
      <w:keepNext w:val="true"/>
      <w:ind w:hanging="0" w:start="0" w:end="0"/>
    </w:pPr>
    <w:rPr/>
  </w:style>
  <w:style w:type="paragraph" w:styleId="defs">
    <w:name w:val="defs"/>
    <w:basedOn w:val="boldflush"/>
    <w:qFormat/>
    <w:pPr>
      <w:keepNext w:val="false"/>
      <w:tabs>
        <w:tab w:val="clear" w:pos="720"/>
        <w:tab w:val="left" w:pos="3600" w:leader="dot"/>
      </w:tabs>
      <w:ind w:hanging="3600" w:start="3600" w:end="0"/>
    </w:pPr>
    <w:rPr>
      <w:b w:val="false"/>
    </w:rPr>
  </w:style>
  <w:style w:type="paragraph" w:styleId="DocumentMap">
    <w:name w:val="Document Map"/>
    <w:basedOn w:val="Normal"/>
    <w:qFormat/>
    <w:pPr>
      <w:shd w:fill="000080" w:val="clear"/>
    </w:pPr>
    <w:rPr>
      <w:rFonts w:ascii="Tahoma" w:hAnsi="Tahoma" w:cs="Tahoma"/>
    </w:rPr>
  </w:style>
  <w:style w:type="paragraph" w:styleId="Centered12Before">
    <w:name w:val="Centered 12 Before"/>
    <w:basedOn w:val="Normal"/>
    <w:qFormat/>
    <w:pPr>
      <w:spacing w:before="240" w:after="0"/>
      <w:jc w:val="center"/>
    </w:pPr>
    <w:rPr/>
  </w:style>
  <w:style w:type="paragraph" w:styleId="CommentText">
    <w:name w:val="Comment Text"/>
    <w:basedOn w:val="Normal"/>
    <w:qFormat/>
    <w:pPr/>
    <w:rPr>
      <w:sz w:val="20"/>
    </w:rPr>
  </w:style>
  <w:style w:type="paragraph" w:styleId="Body1">
    <w:name w:val="Body1"/>
    <w:basedOn w:val="Normal"/>
    <w:qFormat/>
    <w:pPr>
      <w:spacing w:before="240" w:after="0"/>
      <w:ind w:hanging="720" w:start="720" w:end="0"/>
      <w:outlineLvl w:val="0"/>
    </w:pPr>
    <w:rPr>
      <w:caps/>
    </w:rPr>
  </w:style>
  <w:style w:type="paragraph" w:styleId="BodyTextFirstIndent">
    <w:name w:val="Body Text First Indent"/>
    <w:basedOn w:val="BodyText"/>
    <w:qFormat/>
    <w:pPr>
      <w:spacing w:before="0" w:after="240"/>
    </w:pPr>
    <w:rPr>
      <w:sz w:val="24"/>
    </w:rPr>
  </w:style>
  <w:style w:type="paragraph" w:styleId="ListBullet2">
    <w:name w:val="List Bullet 2"/>
    <w:basedOn w:val="Normal"/>
    <w:qFormat/>
    <w:pPr>
      <w:spacing w:lineRule="auto" w:line="288" w:before="0" w:after="20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2000-05-31T10:21:00Z</dcterms:created>
  <dc:creator>Winthrop, Stimson, Putnam &amp; Roberts</dc:creator>
  <dc:description/>
  <cp:keywords>63234642.07</cp:keywords>
  <dc:language>en-CA</dc:language>
  <cp:lastModifiedBy>Winthrop, Stimson, Putnam &amp; Roberts</cp:lastModifiedBy>
  <cp:lastPrinted>2000-05-29T12:16:00Z</cp:lastPrinted>
  <dcterms:modified xsi:type="dcterms:W3CDTF">2000-05-31T10:21:00Z</dcterms:modified>
  <cp:revision>2</cp:revision>
  <dc:subject>v 1.0 Updates: ABCDEFG</dc:subject>
  <dc:title>70624 COV 1 Yorkshire Power Offering Memo</dc:title>
</cp:coreProperties>
</file>