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Prediction Company</w:t>
      </w:r>
    </w:p>
    <w:p>
      <w:pPr>
        <w:pStyle w:val="Normal"/>
        <w:jc w:val="center"/>
        <w:rPr/>
      </w:pPr>
      <w:r>
        <w:rPr>
          <w:b/>
          <w:bCs/>
        </w:rPr>
        <w:t>Minutes of meeting 30</w:t>
      </w:r>
      <w:r>
        <w:rPr>
          <w:b/>
          <w:bCs/>
          <w:vertAlign w:val="superscript"/>
        </w:rPr>
        <w:t>th</w:t>
      </w:r>
      <w:r>
        <w:rPr>
          <w:b/>
          <w:bCs/>
        </w:rPr>
        <w:t xml:space="preserve"> July 2001, Houston.</w:t>
      </w:r>
    </w:p>
    <w:p>
      <w:pPr>
        <w:pStyle w:val="Normal"/>
        <w:rPr>
          <w:b/>
          <w:bCs/>
        </w:rPr>
      </w:pPr>
      <w:r>
        <w:rPr>
          <w:b/>
          <w:bCs/>
        </w:rPr>
      </w:r>
    </w:p>
    <w:p>
      <w:pPr>
        <w:pStyle w:val="Normal"/>
        <w:rPr/>
      </w:pPr>
      <w:r>
        <w:rPr>
          <w:b/>
          <w:bCs/>
        </w:rPr>
        <w:t>History</w:t>
      </w:r>
      <w:r>
        <w:rPr/>
        <w:t>: Founded 1991 to trade all instruments in all financial markets.  Since 1997 have been concentrating exclusively on equities.  They will trade any equity worldwide provided there is sufficient liquidity.  UBS now have a 33% equity stake in the Company.  All trades are executed and cleared through UBS.</w:t>
      </w:r>
    </w:p>
    <w:p>
      <w:pPr>
        <w:pStyle w:val="Normal"/>
        <w:rPr/>
      </w:pPr>
      <w:r>
        <w:rPr/>
      </w:r>
    </w:p>
    <w:p>
      <w:pPr>
        <w:pStyle w:val="Normal"/>
        <w:rPr/>
      </w:pPr>
      <w:r>
        <w:rPr>
          <w:b/>
          <w:bCs/>
        </w:rPr>
        <w:t>Current shape</w:t>
      </w:r>
      <w:r>
        <w:rPr/>
        <w:t>: The Company currently has around 50 people on the payroll.  Their “burn rate” is $8-10m per annum, which covers all direct expenses (salaries, data feeds, rent, and so on).  This does not include annual bonuses of $4-5m.  These figures do not include the cost to UBS of the associated back office, cash management and treasury functions.</w:t>
      </w:r>
    </w:p>
    <w:p>
      <w:pPr>
        <w:pStyle w:val="Normal"/>
        <w:rPr/>
      </w:pPr>
      <w:r>
        <w:rPr/>
      </w:r>
    </w:p>
    <w:p>
      <w:pPr>
        <w:pStyle w:val="Normal"/>
        <w:rPr/>
      </w:pPr>
      <w:r>
        <w:rPr>
          <w:b/>
          <w:bCs/>
        </w:rPr>
        <w:t>Performance</w:t>
      </w:r>
      <w:r>
        <w:rPr/>
        <w:t>: While their confidentiality agreement with UBS prevents them from stating their performance, they are able to compare themselves with a hedge fund.  (Not quite sure how seriously we should take these figures, but here goes...) If they were an independent hedge fund they would be managing $500m-1bn of customer money.  They would be taking a 2% management fee, and a 20% incentive fee.  In return customers could expect a return of 15-20%.</w:t>
      </w:r>
    </w:p>
    <w:p>
      <w:pPr>
        <w:pStyle w:val="Normal"/>
        <w:rPr/>
      </w:pPr>
      <w:r>
        <w:rPr/>
      </w:r>
    </w:p>
    <w:p>
      <w:pPr>
        <w:pStyle w:val="Normal"/>
        <w:rPr/>
      </w:pPr>
      <w:r>
        <w:rPr>
          <w:b/>
          <w:bCs/>
        </w:rPr>
        <w:t>UBS/Prediction relationship</w:t>
      </w:r>
      <w:r>
        <w:rPr/>
        <w:t>: Prediction Co design, test and build all models and analyze trading performance.  UBS execute the programs and provide the back office support.</w:t>
      </w:r>
    </w:p>
    <w:p>
      <w:pPr>
        <w:pStyle w:val="Normal"/>
        <w:rPr/>
      </w:pPr>
      <w:r>
        <w:rPr/>
      </w:r>
    </w:p>
    <w:p>
      <w:pPr>
        <w:pStyle w:val="Normal"/>
        <w:rPr/>
      </w:pPr>
      <w:r>
        <w:rPr>
          <w:b/>
          <w:bCs/>
        </w:rPr>
        <w:t>How do the models work?</w:t>
      </w:r>
      <w:r>
        <w:rPr/>
        <w:t xml:space="preserve"> Data in the form of high frequency returns estimates, transaction cost and market impact movements are computed.  These are fed into a “portfolio optimizer” which considers the current positions and hedging effects, and produces an “aim position” for the day.  This aim position is fed into the “intra-day model”, which must ascertain the optimal timing for these trades.  The model actually executes some live controlled “experiments” (i.e. trades) in the market to help determine the impact of the timing.  The intra-day model thus feeds back information on the actual position for the model to continue execution.</w:t>
      </w:r>
    </w:p>
    <w:p>
      <w:pPr>
        <w:pStyle w:val="Normal"/>
        <w:rPr/>
      </w:pPr>
      <w:r>
        <w:rPr/>
      </w:r>
    </w:p>
    <w:p>
      <w:pPr>
        <w:pStyle w:val="Normal"/>
        <w:rPr/>
      </w:pPr>
      <w:r>
        <w:rPr>
          <w:b/>
          <w:bCs/>
        </w:rPr>
        <w:t>Styles of collaboration</w:t>
      </w:r>
      <w:r>
        <w:rPr/>
        <w:t>:  The Prediction Company have suggested the following areas we can collaborate on:</w:t>
      </w:r>
    </w:p>
    <w:p>
      <w:pPr>
        <w:pStyle w:val="Normal"/>
        <w:numPr>
          <w:ilvl w:val="0"/>
          <w:numId w:val="2"/>
        </w:numPr>
        <w:rPr/>
      </w:pPr>
      <w:r>
        <w:rPr/>
        <w:t>Development of an infrastructure to examine trading data (essentially a pattern recognition and visualization tool).</w:t>
      </w:r>
    </w:p>
    <w:p>
      <w:pPr>
        <w:pStyle w:val="Normal"/>
        <w:numPr>
          <w:ilvl w:val="0"/>
          <w:numId w:val="2"/>
        </w:numPr>
        <w:rPr/>
      </w:pPr>
      <w:r>
        <w:rPr/>
        <w:t>Trade analytics, P&amp;L distribution, and performance measurement/attribution. Useful for tracking trading success.  Such a system would need to be developed as a prerequisite for item 3 below.</w:t>
      </w:r>
    </w:p>
    <w:p>
      <w:pPr>
        <w:pStyle w:val="Normal"/>
        <w:numPr>
          <w:ilvl w:val="0"/>
          <w:numId w:val="2"/>
        </w:numPr>
        <w:rPr/>
      </w:pPr>
      <w:r>
        <w:rPr/>
        <w:t>“</w:t>
      </w:r>
      <w:r>
        <w:rPr/>
        <w:t>Market making assistant”.  A tool to set bid/ask spreads for a given midpoint, or vice versa.  The trader would be able to switch such a system off at will, and in turn the system would be able to alert the trader when it was “uncomfortable” with the market behavior.</w:t>
      </w:r>
    </w:p>
    <w:p>
      <w:pPr>
        <w:pStyle w:val="Normal"/>
        <w:numPr>
          <w:ilvl w:val="0"/>
          <w:numId w:val="2"/>
        </w:numPr>
        <w:rPr/>
      </w:pPr>
      <w:r>
        <w:rPr/>
        <w:t>Automated stack manager, where the system moves both the midpoint and bid/ask spreads.</w:t>
      </w:r>
    </w:p>
    <w:p>
      <w:pPr>
        <w:pStyle w:val="Normal"/>
        <w:numPr>
          <w:ilvl w:val="0"/>
          <w:numId w:val="2"/>
        </w:numPr>
        <w:rPr/>
      </w:pPr>
      <w:r>
        <w:rPr/>
        <w:t>Fully automated system to make proprietary trading decisions.</w:t>
      </w:r>
    </w:p>
    <w:p>
      <w:pPr>
        <w:pStyle w:val="Normal"/>
        <w:rPr/>
      </w:pPr>
      <w:r>
        <w:rPr/>
      </w:r>
    </w:p>
    <w:p>
      <w:pPr>
        <w:pStyle w:val="Normal"/>
        <w:rPr/>
      </w:pPr>
      <w:r>
        <w:rPr>
          <w:b/>
          <w:bCs/>
        </w:rPr>
        <w:t>Fee structures</w:t>
      </w:r>
      <w:r>
        <w:rPr/>
        <w:t>: Prediction Company’s resource is already fully utilized; if we are to collaborate they will need a substantial commitment from us since they will need to hire and develop new resources, putting a load on the company.  Given their need to expand there are three main possibilities for funding they would like us to consider:</w:t>
      </w:r>
    </w:p>
    <w:p>
      <w:pPr>
        <w:pStyle w:val="Normal"/>
        <w:numPr>
          <w:ilvl w:val="0"/>
          <w:numId w:val="1"/>
        </w:numPr>
        <w:rPr/>
      </w:pPr>
      <w:r>
        <w:rPr/>
        <w:t>Up-front lump sum (allowing them to hire), followed by a commitment to a consultancy-style contract linked to milestone deliverables and/or trades executed.</w:t>
      </w:r>
    </w:p>
    <w:p>
      <w:pPr>
        <w:pStyle w:val="Normal"/>
        <w:numPr>
          <w:ilvl w:val="0"/>
          <w:numId w:val="1"/>
        </w:numPr>
        <w:rPr/>
      </w:pPr>
      <w:r>
        <w:rPr/>
        <w:t>An equity investment from Enron, with the schedule for the investments based on deliverables.</w:t>
      </w:r>
    </w:p>
    <w:p>
      <w:pPr>
        <w:pStyle w:val="Normal"/>
        <w:numPr>
          <w:ilvl w:val="0"/>
          <w:numId w:val="1"/>
        </w:numPr>
        <w:rPr/>
      </w:pPr>
      <w:r>
        <w:rPr/>
        <w:t>A loan or line of credit from Enron to build up their capabilities while producing deliverables.</w:t>
      </w:r>
    </w:p>
    <w:p>
      <w:pPr>
        <w:pStyle w:val="Normal"/>
        <w:rPr/>
      </w:pPr>
      <w:r>
        <w:rPr/>
      </w:r>
    </w:p>
    <w:p>
      <w:pPr>
        <w:pStyle w:val="Normal"/>
        <w:jc w:val="end"/>
        <w:rPr/>
      </w:pPr>
      <w:r>
        <w:rPr/>
        <w:t>Minutes recorded by Steve Leppard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Strong">
    <w:name w:val="Strong"/>
    <w:basedOn w:val="DefaultParagraphFont"/>
    <w:qFormat/>
    <w:rPr>
      <w:b/>
      <w:bCs/>
    </w:rPr>
  </w:style>
  <w:style w:type="paragraph" w:styleId="Heading">
    <w:name w:val="Heading"/>
    <w:basedOn w:val="Normal"/>
    <w:next w:val="BodyText"/>
    <w:qFormat/>
    <w:pPr>
      <w:jc w:val="center"/>
    </w:pPr>
    <w:rPr>
      <w:rFonts w:ascii="Arial" w:hAnsi="Arial" w:cs="Arial"/>
      <w:b/>
      <w:bCs/>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2001-08-03T14:39:00Z</dcterms:created>
  <dc:creator>Steve Leppard</dc:creator>
  <dc:description/>
  <dc:language>en-CA</dc:language>
  <cp:lastModifiedBy>vkamins</cp:lastModifiedBy>
  <cp:lastPrinted>2001-08-03T12:07:00Z</cp:lastPrinted>
  <dcterms:modified xsi:type="dcterms:W3CDTF">2001-08-03T14:48:00Z</dcterms:modified>
  <cp:revision>3</cp:revision>
  <dc:subject/>
  <dc:title>Prediction Company</dc:title>
</cp:coreProperties>
</file>