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0" w:after="360"/>
        <w:rPr/>
      </w:pPr>
      <w:r>
        <w:rPr/>
        <w:t>Enron Energy Trading</w:t>
        <w:br/>
        <w:t xml:space="preserve">with </w:t>
        <w:br/>
        <w:t>Prediction Company Technology</w:t>
      </w:r>
    </w:p>
    <w:p>
      <w:pPr>
        <w:pStyle w:val="1Heading"/>
        <w:widowControl/>
        <w:bidi w:val="0"/>
        <w:spacing w:before="120" w:after="160"/>
        <w:jc w:val="start"/>
        <w:rPr>
          <w:b w:val="false"/>
        </w:rPr>
      </w:pPr>
      <w:r>
        <w:rPr/>
        <w:t>1.  Executive Summary</w:t>
      </w:r>
    </w:p>
    <w:p>
      <w:pPr>
        <w:pStyle w:val="Body"/>
        <w:widowControl/>
        <w:bidi w:val="0"/>
        <w:spacing w:before="80" w:after="120"/>
        <w:jc w:val="start"/>
        <w:rPr/>
      </w:pPr>
      <w:r>
        <w:rPr/>
        <w:t>This document contains a preliminary proposal for developing a proprietary trading sys</w:t>
        <w:softHyphen/>
        <w:t>tem using Enron data and Prediction Company technology. It outlines a two-phase busi</w:t>
        <w:softHyphen/>
        <w:t xml:space="preserve">ness plan with the following characteristics: </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 xml:space="preserve">Phase I would consist of a development project. </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Enron would pay Prediction Company a development fee for this project, paid in installments at the completion of four project milestones.</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If carried through to completion, the total development fee for the project would be $2.5 million.</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Total project duration is expected to be roughly one year.</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Either party may exit the relationship at the end of any of the first three development stages for reasonable cause without penalty.</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Phase II would consist of a funds management/trading agreement.</w:t>
      </w:r>
    </w:p>
    <w:p>
      <w:pPr>
        <w:pStyle w:val="Body"/>
        <w:widowControl/>
        <w:bidi w:val="0"/>
        <w:spacing w:before="240" w:after="120"/>
        <w:jc w:val="start"/>
        <w:rPr/>
      </w:pPr>
      <w:r>
        <w:rPr/>
        <w:t xml:space="preserve">In addition, a brief proposal for development of a crude oil market making application is included in this document as a framework for further discussion. </w:t>
      </w:r>
    </w:p>
    <w:p>
      <w:pPr>
        <w:pStyle w:val="1Heading"/>
        <w:widowControl/>
        <w:bidi w:val="0"/>
        <w:spacing w:before="360" w:after="160"/>
        <w:jc w:val="start"/>
        <w:rPr>
          <w:b w:val="false"/>
        </w:rPr>
      </w:pPr>
      <w:r>
        <w:rPr/>
        <w:t>2.  Background</w:t>
      </w:r>
    </w:p>
    <w:p>
      <w:pPr>
        <w:pStyle w:val="Body"/>
        <w:widowControl/>
        <w:bidi w:val="0"/>
        <w:spacing w:before="80" w:after="120"/>
        <w:jc w:val="start"/>
        <w:rPr/>
      </w:pPr>
      <w:r>
        <w:rPr/>
        <w:t>Prediction Company has been performing research and technology development in the financial markets for the past ten years. In that time, a robust research and engineering process and culture has been cultivated to provide unparalleled quality in the results and performance of our proprietary, completely automated trading system. In addition, Predic</w:t>
        <w:softHyphen/>
        <w:t>tion Company’s infrastructure and toolset allows for detailed insight into risk manage</w:t>
        <w:softHyphen/>
        <w:t>ment, performance analysis, data interpretation, signal analysis, and back office accounting. These capabilities have not only allowed survival in a difficult business seg</w:t>
        <w:softHyphen/>
        <w:t>ment but have allowed us to consistently grow and further develop leading edge technolo</w:t>
        <w:softHyphen/>
        <w:t>gies.</w:t>
      </w:r>
    </w:p>
    <w:p>
      <w:pPr>
        <w:pStyle w:val="Body"/>
        <w:widowControl/>
        <w:bidi w:val="0"/>
        <w:spacing w:before="120" w:after="120"/>
        <w:jc w:val="start"/>
        <w:rPr/>
      </w:pPr>
      <w:r>
        <w:rPr/>
        <w:t>The possibility of partnering with Enron Corporation provides an exciting and challenging opportunity for Prediction Company to further leverage its technology and expertise. Enron’s leadership in electronic energy market making, and the profusion of data that results, creates tremendous synergy between Enron’s market knowledge in the energy field, and Prediction Company’s experience in model based trading. Our research and engineering processes will find whatever predictive structure exists in the data being cap</w:t>
        <w:softHyphen/>
        <w:t xml:space="preserve">tured, and verify that it is of practical and profitable use. </w:t>
      </w:r>
    </w:p>
    <w:p>
      <w:pPr>
        <w:pStyle w:val="Body"/>
        <w:widowControl/>
        <w:bidi w:val="0"/>
        <w:spacing w:before="120" w:after="120"/>
        <w:jc w:val="start"/>
        <w:rPr/>
      </w:pPr>
      <w:r>
        <w:rPr/>
        <w:t>Prediction Company is pleased that discussions with Enron representatives have reached the point of a request for a preliminary proposal. It has been agreed that the main goal in a relationship between Enron and Prediction Company would be to use Enron’s data and Prediction Company’s technology to develop energy trading applications. In particular, two potential application areas were identified:</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Automated proprietary trading of natural gas (and possibly other energy instruments). This was identified as the main priority.</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Automated market making for crude oil (and possibly other energy instruments).</w:t>
      </w:r>
    </w:p>
    <w:p>
      <w:pPr>
        <w:pStyle w:val="Body"/>
        <w:widowControl/>
        <w:bidi w:val="0"/>
        <w:spacing w:before="240" w:after="120"/>
        <w:jc w:val="start"/>
        <w:rPr/>
      </w:pPr>
      <w:r>
        <w:rPr/>
        <w:t xml:space="preserve">The following sections outline the details of this preliminary proposal. </w:t>
      </w:r>
    </w:p>
    <w:p>
      <w:pPr>
        <w:pStyle w:val="1Heading"/>
        <w:widowControl/>
        <w:bidi w:val="0"/>
        <w:spacing w:before="360" w:after="160"/>
        <w:jc w:val="start"/>
        <w:rPr>
          <w:b w:val="false"/>
        </w:rPr>
      </w:pPr>
      <w:r>
        <w:rPr/>
        <w:t>3.  Proprietary Trading</w:t>
      </w:r>
    </w:p>
    <w:p>
      <w:pPr>
        <w:pStyle w:val="Body"/>
        <w:widowControl/>
        <w:bidi w:val="0"/>
        <w:spacing w:before="80" w:after="120"/>
        <w:jc w:val="start"/>
        <w:rPr/>
      </w:pPr>
      <w:r>
        <w:rPr/>
        <w:t>We propose a two-phase business plan. Phase I would consist of a development project. Enron would pay Prediction Company a development fee for this project. The fee would be paid in installments at the completion of certain milestones in the project. Phase II would consist of a funds management/trading agreement. Prediction Company would be compensated with a management fee and an incentive fee for this phase. A representative agreement would consist of a fee of 2% of average face value under management and 20% of net trading profits.</w:t>
      </w:r>
    </w:p>
    <w:p>
      <w:pPr>
        <w:pStyle w:val="2Heading"/>
        <w:widowControl/>
        <w:bidi w:val="0"/>
        <w:spacing w:before="240" w:after="0"/>
        <w:jc w:val="start"/>
        <w:rPr>
          <w:b w:val="false"/>
        </w:rPr>
      </w:pPr>
      <w:r>
        <w:rPr/>
        <w:t>3.1  Phase I</w:t>
      </w:r>
    </w:p>
    <w:p>
      <w:pPr>
        <w:pStyle w:val="Body"/>
        <w:widowControl/>
        <w:bidi w:val="0"/>
        <w:spacing w:before="240" w:after="120"/>
        <w:jc w:val="start"/>
        <w:rPr/>
      </w:pPr>
      <w:r>
        <w:rPr/>
        <w:t>We propose a four-part plan to develop a proprietary trading system for energy products. We will target natural gas as the initial trading target. The four parts are:</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Data preparation</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Search for basic predictability</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Development of a research trading system</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Development of a production trading system</w:t>
      </w:r>
    </w:p>
    <w:p>
      <w:pPr>
        <w:pStyle w:val="Body"/>
        <w:widowControl/>
        <w:bidi w:val="0"/>
        <w:spacing w:before="240" w:after="120"/>
        <w:jc w:val="start"/>
        <w:rPr/>
      </w:pPr>
      <w:r>
        <w:rPr/>
        <w:t>In some cases it will be possible to start work on a later phase of the project before an ear</w:t>
        <w:softHyphen/>
        <w:t xml:space="preserve">lier one is completed. This overlap potential will be exploited whenever possible to reduce development time. </w:t>
      </w:r>
    </w:p>
    <w:p>
      <w:pPr>
        <w:pStyle w:val="3Heading"/>
        <w:widowControl/>
        <w:bidi w:val="0"/>
        <w:spacing w:before="240" w:after="0"/>
        <w:jc w:val="start"/>
        <w:rPr>
          <w:b w:val="false"/>
          <w:sz w:val="20"/>
        </w:rPr>
      </w:pPr>
      <w:r>
        <w:rPr/>
        <w:t>3.1.1  Data Preparation</w:t>
      </w:r>
    </w:p>
    <w:p>
      <w:pPr>
        <w:pStyle w:val="Body"/>
        <w:widowControl/>
        <w:bidi w:val="0"/>
        <w:spacing w:before="240" w:after="120"/>
        <w:jc w:val="start"/>
        <w:rPr/>
      </w:pPr>
      <w:r>
        <w:rPr/>
        <w:t>In this part we will load, clean and normalize historical data that we believe will allow us to produce the best predictions in this domain. This will include meta and transaction data from EnronOnline and other sources within Enron. It will also include NYMEX data and data from other energy exchanges and trading centers. We will clean and normalize this data and produce a data set ready for research.</w:t>
      </w:r>
    </w:p>
    <w:p>
      <w:pPr>
        <w:pStyle w:val="Body"/>
        <w:widowControl/>
        <w:bidi w:val="0"/>
        <w:spacing w:before="120" w:after="120"/>
        <w:jc w:val="start"/>
        <w:rPr/>
      </w:pPr>
      <w:r>
        <w:rPr/>
        <w:t>We expect this part to take approximately 3 calendar months. The deliverable would con</w:t>
        <w:softHyphen/>
        <w:t>sist of a data report and the cleaned data set itself in flat file format. We propose a fee of $750,000 for this part to be paid on completion. Either party may exit this relationship at the end of this phase for reasonable cause without penalty.</w:t>
      </w:r>
    </w:p>
    <w:p>
      <w:pPr>
        <w:pStyle w:val="3Heading"/>
        <w:widowControl/>
        <w:bidi w:val="0"/>
        <w:spacing w:before="240" w:after="0"/>
        <w:jc w:val="start"/>
        <w:rPr>
          <w:b w:val="false"/>
          <w:sz w:val="20"/>
        </w:rPr>
      </w:pPr>
      <w:r>
        <w:rPr/>
        <w:t>3.1.2  Search for Predictability</w:t>
      </w:r>
    </w:p>
    <w:p>
      <w:pPr>
        <w:pStyle w:val="Body"/>
        <w:widowControl/>
        <w:bidi w:val="0"/>
        <w:spacing w:before="240" w:after="120"/>
        <w:jc w:val="start"/>
        <w:rPr/>
      </w:pPr>
      <w:r>
        <w:rPr/>
        <w:t>In this part we will perform a basic search for predictable structure in the data set. This will give us an initial assessment of the potential in the data set for our kind of trading approach. From this work we will be able to refine our projections of trading performance and determine whether our initial data set is sufficient for the task or whether we will need more/different data. If more data is needed we will need to cycle back to the first part of this phase.</w:t>
      </w:r>
    </w:p>
    <w:p>
      <w:pPr>
        <w:pStyle w:val="Body"/>
        <w:widowControl/>
        <w:bidi w:val="0"/>
        <w:spacing w:before="120" w:after="120"/>
        <w:jc w:val="start"/>
        <w:rPr/>
      </w:pPr>
      <w:r>
        <w:rPr/>
        <w:t>We expect this part to take approximately 2 calendar months. The deliverable would con</w:t>
        <w:softHyphen/>
        <w:t>sist of a research report. We propose a fee of $500,000 for this part to be paid on comple</w:t>
        <w:softHyphen/>
        <w:t>tion. Either party may exit this relationship at the end of this phase for reasonable cause without penalty.</w:t>
      </w:r>
    </w:p>
    <w:p>
      <w:pPr>
        <w:pStyle w:val="3Heading"/>
        <w:widowControl/>
        <w:bidi w:val="0"/>
        <w:spacing w:before="240" w:after="0"/>
        <w:jc w:val="start"/>
        <w:rPr>
          <w:b w:val="false"/>
          <w:sz w:val="20"/>
        </w:rPr>
      </w:pPr>
      <w:r>
        <w:rPr/>
        <w:t>3.1.3  Research Trading System</w:t>
      </w:r>
    </w:p>
    <w:p>
      <w:pPr>
        <w:pStyle w:val="Body"/>
        <w:widowControl/>
        <w:bidi w:val="0"/>
        <w:spacing w:before="240" w:after="120"/>
        <w:jc w:val="start"/>
        <w:rPr/>
      </w:pPr>
      <w:r>
        <w:rPr/>
        <w:t>In this part we will develop a research trading system. A research trading system is a labo</w:t>
        <w:softHyphen/>
        <w:t>ratory simulation of a complete trading system. This includes portfolio optimization and execution simulation. From this work we will be able to further refine our performance projections and scope of issues crucial to the development of a complete trading system.</w:t>
      </w:r>
    </w:p>
    <w:p>
      <w:pPr>
        <w:pStyle w:val="Body"/>
        <w:widowControl/>
        <w:bidi w:val="0"/>
        <w:spacing w:before="120" w:after="120"/>
        <w:jc w:val="start"/>
        <w:rPr/>
      </w:pPr>
      <w:r>
        <w:rPr/>
        <w:t>We expect this part to take approximately 3 calendar months. The deliverable would con</w:t>
        <w:softHyphen/>
        <w:t>sist of a research report containing basic information about the system and a portfolio (backtest) report. We propose a fee of $750,000 for this part be paid on completion. Either party may exit this relationship at the end of this phase for reasonable cause without pen</w:t>
        <w:softHyphen/>
        <w:t>alty.</w:t>
      </w:r>
    </w:p>
    <w:p>
      <w:pPr>
        <w:pStyle w:val="3Heading"/>
        <w:widowControl/>
        <w:bidi w:val="0"/>
        <w:spacing w:before="240" w:after="0"/>
        <w:jc w:val="start"/>
        <w:rPr>
          <w:b w:val="false"/>
          <w:sz w:val="20"/>
        </w:rPr>
      </w:pPr>
      <w:r>
        <w:rPr/>
        <w:t>3.1.4  Production Trading System</w:t>
      </w:r>
    </w:p>
    <w:p>
      <w:pPr>
        <w:pStyle w:val="Body"/>
        <w:widowControl/>
        <w:bidi w:val="0"/>
        <w:spacing w:before="240" w:after="120"/>
        <w:jc w:val="start"/>
        <w:rPr/>
      </w:pPr>
      <w:r>
        <w:rPr/>
        <w:t>In this part we will develop a prototype production trading system. This will include con</w:t>
        <w:softHyphen/>
        <w:t>nections to data sources, execution sources and back office. We would expect to start this development phase concurrently with the start of negotiations for a trading agreement (see 2.2).</w:t>
      </w:r>
    </w:p>
    <w:p>
      <w:pPr>
        <w:pStyle w:val="Body"/>
        <w:widowControl/>
        <w:bidi w:val="0"/>
        <w:spacing w:before="120" w:after="120"/>
        <w:jc w:val="start"/>
        <w:rPr/>
      </w:pPr>
      <w:r>
        <w:rPr/>
        <w:t>We expect this development to take approximately 4 calendar months. The deliverable would be a prototype production trading system, ready for initial trading within 30 days. We propose the following fees for this development phase:</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Incremental fees of $100,000 per month during the period in which the trading agreement is being negotiated, with the total of incremental fees not to exceed $300,000.</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A completion fee set so that the total of incremental fees and completion fee equals $500,000. This fee would to be paid on delivery of the production trading system.</w:t>
      </w:r>
    </w:p>
    <w:p>
      <w:pPr>
        <w:pStyle w:val="Body"/>
        <w:widowControl/>
        <w:bidi w:val="0"/>
        <w:spacing w:before="240" w:after="120"/>
        <w:jc w:val="start"/>
        <w:rPr/>
      </w:pPr>
      <w:r>
        <w:rPr/>
        <w:t>If it is determined that an agreement for Phase II of this proposal cannot be reached during this development period, the following would result:</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Prediction Company will be enjoined from trading in natural gas for a period of 2 years</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Enron will be enjoined from using any results of this agreement in any way for a period of 1 year. This will include but not be limited to: trading strategies, models, algorithms and data transformations.</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Enron would only be required to pay the incremental fees incurred up to the time when the failure of trading agreement negotiations is apparent.</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Delivery of a production trading system would not be required.</w:t>
      </w:r>
    </w:p>
    <w:p>
      <w:pPr>
        <w:pStyle w:val="2Heading"/>
        <w:widowControl/>
        <w:bidi w:val="0"/>
        <w:spacing w:before="360" w:after="0"/>
        <w:jc w:val="start"/>
        <w:rPr>
          <w:b w:val="false"/>
        </w:rPr>
      </w:pPr>
      <w:r>
        <w:rPr/>
        <w:t>3.2  Phase II</w:t>
      </w:r>
    </w:p>
    <w:p>
      <w:pPr>
        <w:pStyle w:val="Body"/>
        <w:widowControl/>
        <w:bidi w:val="0"/>
        <w:spacing w:before="240" w:after="120"/>
        <w:jc w:val="start"/>
        <w:rPr/>
      </w:pPr>
      <w:r>
        <w:rPr/>
        <w:t>In this phase we will operate and trade the system for profit. The decision to move to this phase will occur once the results of development phase 2.1.3 (portfolio/backtest report) are available, which will provide expected performance and trading characteristics of the proposed production system. Once these are known it will be possible to negotiate the details of the trading agreement including:</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 xml:space="preserve">Risk allocation ranges, </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 xml:space="preserve">Management fee structure and range, </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 xml:space="preserve">Incentive fee structure and range, </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UBS participation,</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Allocation of responsibilities and funding for system support staff.</w:t>
      </w:r>
    </w:p>
    <w:p>
      <w:pPr>
        <w:pStyle w:val="2Heading"/>
        <w:widowControl/>
        <w:bidi w:val="0"/>
        <w:spacing w:before="360" w:after="0"/>
        <w:jc w:val="start"/>
        <w:rPr>
          <w:b w:val="false"/>
        </w:rPr>
      </w:pPr>
      <w:r>
        <w:rPr/>
        <w:t>3.3  Intellectual Property, Rights and Restrictions</w:t>
      </w:r>
    </w:p>
    <w:p>
      <w:pPr>
        <w:pStyle w:val="Body"/>
        <w:widowControl/>
        <w:bidi w:val="0"/>
        <w:spacing w:before="240" w:after="120"/>
        <w:jc w:val="start"/>
        <w:rPr/>
      </w:pPr>
      <w:r>
        <w:rPr/>
        <w:t xml:space="preserve">We agree that Enron’s proprietary data will remain proprietary to Enron and will not be used in any applications except those for which we have specific Enron authorization. We agree to erase and destroy any copies of this data should this agreement terminate. </w:t>
      </w:r>
    </w:p>
    <w:p>
      <w:pPr>
        <w:pStyle w:val="Body"/>
        <w:widowControl/>
        <w:bidi w:val="0"/>
        <w:spacing w:before="120" w:after="120"/>
        <w:jc w:val="start"/>
        <w:rPr/>
      </w:pPr>
      <w:r>
        <w:rPr/>
        <w:t xml:space="preserve">We agree that basic Prediction Company proprietary technology, algorithms and data will remain proprietary to Prediction Company and that Enron will have no independent access or rights to these items except as provided in project deliverables. </w:t>
      </w:r>
    </w:p>
    <w:p>
      <w:pPr>
        <w:pStyle w:val="Body"/>
        <w:widowControl/>
        <w:bidi w:val="0"/>
        <w:spacing w:before="120" w:after="120"/>
        <w:jc w:val="start"/>
        <w:rPr/>
      </w:pPr>
      <w:r>
        <w:rPr/>
        <w:t>Prediction Company will obtain sufficient exemptions, permissions and cooperation from UBS as needed to complete the various phases of this project.</w:t>
      </w:r>
    </w:p>
    <w:p>
      <w:pPr>
        <w:pStyle w:val="2Heading"/>
        <w:widowControl/>
        <w:bidi w:val="0"/>
        <w:spacing w:before="240" w:after="0"/>
        <w:jc w:val="start"/>
        <w:rPr>
          <w:b w:val="false"/>
        </w:rPr>
      </w:pPr>
      <w:r>
        <w:rPr/>
        <w:t>3.4  Prediction Company Project Team</w:t>
      </w:r>
    </w:p>
    <w:p>
      <w:pPr>
        <w:pStyle w:val="Body"/>
        <w:widowControl/>
        <w:bidi w:val="0"/>
        <w:spacing w:before="240" w:after="120"/>
        <w:jc w:val="start"/>
        <w:rPr/>
      </w:pPr>
      <w:r>
        <w:rPr/>
        <w:t>To ensure the highest probability of success in this project, Prediction Company would commit a core team of senior staff for the duration of the project including Jim Nusbaum (Chief Technology Officer) and William Finnoff (Senior Researcher and Managing Direc</w:t>
        <w:softHyphen/>
        <w:t>tor of High Frequency Products). For the data preparation phase, the project team would include Glenn Wikle (Senior Software Developer and Director of Data Services) as well as additional members of the data services group. For the research phases of the project, the project team would include Pekka Soininen (Chief Scientist) and would be supported by other members of the research and engineering functions specializing in high fre</w:t>
        <w:softHyphen/>
        <w:t>quency model development, trade optimization, risk control and the development of trade simulations. For the development of the production trading system Bill Lyon (Senior Soft</w:t>
        <w:softHyphen/>
        <w:t>ware Developer) would join the project team together with other members of the produc</w:t>
        <w:softHyphen/>
        <w:t>tion systems group.</w:t>
      </w:r>
    </w:p>
    <w:p>
      <w:pPr>
        <w:pStyle w:val="2Heading"/>
        <w:widowControl/>
        <w:bidi w:val="0"/>
        <w:spacing w:before="240" w:after="0"/>
        <w:jc w:val="start"/>
        <w:rPr>
          <w:b w:val="false"/>
        </w:rPr>
      </w:pPr>
      <w:r>
        <w:rPr/>
        <w:t>3.5  Project Support from Enron Staff</w:t>
      </w:r>
    </w:p>
    <w:p>
      <w:pPr>
        <w:pStyle w:val="Body"/>
        <w:widowControl/>
        <w:bidi w:val="0"/>
        <w:spacing w:before="240" w:after="120"/>
        <w:jc w:val="start"/>
        <w:rPr/>
      </w:pPr>
      <w:r>
        <w:rPr/>
        <w:t>We would expect Enron to dedicate significant staff resources to support this relationship. Many of the time estimates in this document are highly dependent on Enron support and participation. In particular, during the data preparation phase and in the release of a pro</w:t>
        <w:softHyphen/>
        <w:t>duction trading system, support from Enron IT staff will be mission critical. Further, the research work may be significantly accelerated if Enron provides access to trading and research staff for discussions and information gathering regarding market structure and fundamentals. We estimate that these activities may require on the order of 6-9 man months of Enron staff resources.</w:t>
      </w:r>
    </w:p>
    <w:p>
      <w:pPr>
        <w:pStyle w:val="1Heading"/>
        <w:widowControl/>
        <w:bidi w:val="0"/>
        <w:spacing w:before="360" w:after="160"/>
        <w:jc w:val="start"/>
        <w:rPr>
          <w:b w:val="false"/>
        </w:rPr>
      </w:pPr>
      <w:r>
        <w:rPr/>
        <w:t>4.  Market Making</w:t>
      </w:r>
    </w:p>
    <w:p>
      <w:pPr>
        <w:pStyle w:val="Body"/>
        <w:widowControl/>
        <w:bidi w:val="0"/>
        <w:spacing w:before="80" w:after="120"/>
        <w:jc w:val="start"/>
        <w:rPr/>
      </w:pPr>
      <w:r>
        <w:rPr/>
        <w:t>As a lower priority project we would like to propose that Prediction Company work on an automated market making system for crude oil. We would propose that we follow a simi</w:t>
        <w:softHyphen/>
        <w:t>lar plan as that for the proprietary trading system. Enron would contribute its proprietary data and expertise. We would do the development work.</w:t>
      </w:r>
    </w:p>
    <w:p>
      <w:pPr>
        <w:pStyle w:val="Body"/>
        <w:widowControl/>
        <w:bidi w:val="0"/>
        <w:spacing w:before="120" w:after="120"/>
        <w:jc w:val="start"/>
        <w:rPr/>
      </w:pPr>
      <w:r>
        <w:rPr/>
        <w:t>For this project we would not require a development fee. We would however require an agreement that will mandate Enron’s use of this system should it meet agreed upon perfor</w:t>
        <w:softHyphen/>
        <w:t>mance criteria. We would also want an agreement as to the basic parameters of our com</w:t>
        <w:softHyphen/>
        <w:t>pensation should this system go to production.</w:t>
      </w:r>
    </w:p>
    <w:p>
      <w:pPr>
        <w:pStyle w:val="Normal"/>
        <w:widowControl/>
        <w:bidi w:val="0"/>
        <w:spacing w:before="240" w:after="120"/>
        <w:ind w:hanging="0" w:start="0" w:end="0"/>
        <w:jc w:val="start"/>
        <w:rPr>
          <w:color w:val="000000"/>
        </w:rPr>
      </w:pPr>
      <w:r>
        <w:rPr>
          <w:color w:val="000000"/>
        </w:rPr>
      </w:r>
    </w:p>
    <w:sectPr>
      <w:footerReference w:type="even" r:id="rId2"/>
      <w:footerReference w:type="default" r:id="rId3"/>
      <w:footerReference w:type="first" r:id="rId4"/>
      <w:type w:val="nextPage"/>
      <w:pgSz w:w="12240" w:h="15840"/>
      <w:pgMar w:left="216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rPr>
    </w:pPr>
    <w:r>
      <w:rPr>
        <w:rStyle w:val="PageNumber"/>
        <w:sz w:val="20"/>
        <w:lang w:val="en-US" w:eastAsia="en-US"/>
      </w:rPr>
      <w:tab/>
      <w:tab/>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5</w:t>
    </w:r>
    <w:r>
      <w:rPr>
        <w:rStyle w:val="PageNumber"/>
        <w:sz w:val="20"/>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settings.xml><?xml version="1.0" encoding="utf-8"?>
<w:settings xmlns:w="http://schemas.openxmlformats.org/wordprocessingml/2006/main">
  <w:zoom w:percent="86"/>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w:hAnsi="Times" w:eastAsia="Courier" w:cs="Times New Roman"/>
      <w:color w:val="auto"/>
      <w:kern w:val="2"/>
      <w:sz w:val="24"/>
      <w:szCs w:val="24"/>
      <w:lang w:val="en-US" w:eastAsia="en-US" w:bidi="hi-IN"/>
    </w:rPr>
  </w:style>
  <w:style w:type="character" w:styleId="DefaultParagraphFont">
    <w:name w:val="Default Paragraph Font"/>
    <w:qFormat/>
    <w:rPr/>
  </w:style>
  <w:style w:type="character" w:styleId="Bold">
    <w:name w:val="Bold"/>
    <w:qFormat/>
    <w:rPr>
      <w:b/>
      <w:sz w:val="24"/>
    </w:rPr>
  </w:style>
  <w:style w:type="character" w:styleId="BulletSymbol">
    <w:name w:val="Bullet Symbol"/>
    <w:qFormat/>
    <w:rPr>
      <w:rFonts w:ascii="Courier" w:hAnsi="Courier"/>
      <w:b/>
      <w:color w:val="000000"/>
      <w:sz w:val="24"/>
    </w:rPr>
  </w:style>
  <w:style w:type="character" w:styleId="Callout">
    <w:name w:val="Callout"/>
    <w:qFormat/>
    <w:rPr>
      <w:color w:val="000000"/>
    </w:rPr>
  </w:style>
  <w:style w:type="character" w:styleId="Computer">
    <w:name w:val="Computer"/>
    <w:qFormat/>
    <w:rPr>
      <w:rFonts w:ascii="Courier" w:hAnsi="Courier"/>
      <w:color w:val="000000"/>
      <w:sz w:val="16"/>
    </w:rPr>
  </w:style>
  <w:style w:type="character" w:styleId="Emphasis">
    <w:name w:val="Emphasis"/>
    <w:basedOn w:val="DefaultParagraphFont"/>
    <w:qFormat/>
    <w:rPr>
      <w:i/>
    </w:rPr>
  </w:style>
  <w:style w:type="character" w:styleId="EquationVariables">
    <w:name w:val="EquationVariables"/>
    <w:qFormat/>
    <w:rPr>
      <w:i/>
    </w:rPr>
  </w:style>
  <w:style w:type="character" w:styleId="Run-InHeading">
    <w:name w:val="Run-In Heading"/>
    <w:qFormat/>
    <w:rPr>
      <w:b/>
      <w:color w:val="000000"/>
      <w:sz w:val="22"/>
    </w:rPr>
  </w:style>
  <w:style w:type="character" w:styleId="Subscript">
    <w:name w:val="Subscript"/>
    <w:qFormat/>
    <w:rPr>
      <w:vertAlign w:val="subscript"/>
    </w:rPr>
  </w:style>
  <w:style w:type="character" w:styleId="Superscript">
    <w:name w:val="Superscrip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
    <w:name w:val="1Bullet"/>
    <w:basedOn w:val="Normal"/>
    <w:qFormat/>
    <w:pPr>
      <w:widowControl w:val="false"/>
      <w:tabs>
        <w:tab w:val="clear" w:pos="720"/>
        <w:tab w:val="left" w:pos="1512" w:leader="none"/>
        <w:tab w:val="left" w:pos="1800" w:leader="none"/>
        <w:tab w:val="left" w:pos="1887" w:leader="none"/>
      </w:tabs>
      <w:ind w:hanging="288" w:start="1512" w:end="0"/>
      <w:jc w:val="start"/>
      <w:textAlignment w:val="auto"/>
    </w:pPr>
    <w:rPr>
      <w:rFonts w:ascii="Times" w:hAnsi="Times"/>
      <w:color w:val="000000"/>
      <w:sz w:val="24"/>
      <w:lang w:val="en-US" w:eastAsia="en-US"/>
    </w:rPr>
  </w:style>
  <w:style w:type="paragraph" w:styleId="1Heading">
    <w:name w:val="1Heading"/>
    <w:basedOn w:val="Normal"/>
    <w:qFormat/>
    <w:pPr>
      <w:widowControl w:val="false"/>
      <w:ind w:hanging="0" w:start="0" w:end="0"/>
      <w:jc w:val="start"/>
      <w:textAlignment w:val="auto"/>
    </w:pPr>
    <w:rPr>
      <w:rFonts w:ascii="Times" w:hAnsi="Times"/>
      <w:b/>
      <w:color w:val="000000"/>
      <w:sz w:val="32"/>
      <w:lang w:val="en-US" w:eastAsia="en-US"/>
    </w:rPr>
  </w:style>
  <w:style w:type="paragraph" w:styleId="1Step">
    <w:name w:val="1Step"/>
    <w:basedOn w:val="Normal"/>
    <w:qFormat/>
    <w:pPr>
      <w:widowControl w:val="false"/>
      <w:tabs>
        <w:tab w:val="clear" w:pos="720"/>
        <w:tab w:val="left" w:pos="1887" w:leader="none"/>
        <w:tab w:val="left" w:pos="2160" w:leader="none"/>
      </w:tabs>
      <w:ind w:hanging="273" w:start="1887" w:end="0"/>
      <w:jc w:val="start"/>
      <w:textAlignment w:val="auto"/>
    </w:pPr>
    <w:rPr>
      <w:rFonts w:ascii="Times" w:hAnsi="Times"/>
      <w:color w:val="000000"/>
      <w:sz w:val="24"/>
      <w:lang w:val="en-US" w:eastAsia="en-US"/>
    </w:rPr>
  </w:style>
  <w:style w:type="paragraph" w:styleId="2Bullet">
    <w:name w:val="2Bullet"/>
    <w:basedOn w:val="Normal"/>
    <w:qFormat/>
    <w:pPr>
      <w:widowControl w:val="false"/>
      <w:tabs>
        <w:tab w:val="clear" w:pos="720"/>
        <w:tab w:val="left" w:pos="1224" w:leader="none"/>
        <w:tab w:val="left" w:pos="1512" w:leader="none"/>
      </w:tabs>
      <w:ind w:hanging="288" w:start="1224" w:end="0"/>
      <w:jc w:val="start"/>
      <w:textAlignment w:val="auto"/>
    </w:pPr>
    <w:rPr>
      <w:rFonts w:ascii="Times" w:hAnsi="Times"/>
      <w:color w:val="000000"/>
      <w:sz w:val="24"/>
      <w:lang w:val="en-US" w:eastAsia="en-US"/>
    </w:rPr>
  </w:style>
  <w:style w:type="paragraph" w:styleId="2Heading">
    <w:name w:val="2Heading"/>
    <w:basedOn w:val="Normal"/>
    <w:qFormat/>
    <w:pPr>
      <w:widowControl w:val="false"/>
      <w:ind w:hanging="0" w:start="0" w:end="0"/>
      <w:jc w:val="start"/>
      <w:textAlignment w:val="auto"/>
    </w:pPr>
    <w:rPr>
      <w:rFonts w:ascii="Times" w:hAnsi="Times"/>
      <w:b/>
      <w:color w:val="000000"/>
      <w:sz w:val="28"/>
      <w:lang w:val="en-US" w:eastAsia="en-US"/>
    </w:rPr>
  </w:style>
  <w:style w:type="paragraph" w:styleId="3Bullet">
    <w:name w:val="3Bullet"/>
    <w:basedOn w:val="Normal"/>
    <w:qFormat/>
    <w:pPr>
      <w:widowControl w:val="false"/>
      <w:tabs>
        <w:tab w:val="clear" w:pos="720"/>
        <w:tab w:val="left" w:pos="936" w:leader="none"/>
        <w:tab w:val="left" w:pos="1887" w:leader="none"/>
      </w:tabs>
      <w:ind w:hanging="288" w:start="936" w:end="0"/>
      <w:jc w:val="start"/>
      <w:textAlignment w:val="auto"/>
    </w:pPr>
    <w:rPr>
      <w:rFonts w:ascii="Times" w:hAnsi="Times"/>
      <w:color w:val="000000"/>
      <w:sz w:val="24"/>
      <w:lang w:val="en-US" w:eastAsia="en-US"/>
    </w:rPr>
  </w:style>
  <w:style w:type="paragraph" w:styleId="3Heading">
    <w:name w:val="3Heading"/>
    <w:basedOn w:val="Normal"/>
    <w:qFormat/>
    <w:pPr>
      <w:widowControl w:val="false"/>
      <w:ind w:hanging="0" w:start="0" w:end="0"/>
      <w:jc w:val="start"/>
      <w:textAlignment w:val="auto"/>
    </w:pPr>
    <w:rPr>
      <w:rFonts w:ascii="Times" w:hAnsi="Times"/>
      <w:b/>
      <w:color w:val="000000"/>
      <w:sz w:val="24"/>
      <w:lang w:val="en-US" w:eastAsia="en-US"/>
    </w:rPr>
  </w:style>
  <w:style w:type="paragraph" w:styleId="Abstract">
    <w:name w:val="Abstract"/>
    <w:basedOn w:val="Normal"/>
    <w:qFormat/>
    <w:pPr>
      <w:widowControl w:val="false"/>
      <w:tabs>
        <w:tab w:val="left" w:pos="720" w:leader="none"/>
      </w:tabs>
      <w:ind w:hanging="0" w:start="720" w:end="1440"/>
      <w:jc w:val="start"/>
      <w:textAlignment w:val="auto"/>
    </w:pPr>
    <w:rPr>
      <w:rFonts w:ascii="Times" w:hAnsi="Times"/>
      <w:color w:val="000000"/>
      <w:sz w:val="24"/>
      <w:lang w:val="en-US" w:eastAsia="en-US"/>
    </w:rPr>
  </w:style>
  <w:style w:type="paragraph" w:styleId="Appendix">
    <w:name w:val="Appendix"/>
    <w:basedOn w:val="Normal"/>
    <w:qFormat/>
    <w:pPr>
      <w:widowControl w:val="false"/>
      <w:ind w:hanging="0" w:start="0" w:end="0"/>
      <w:jc w:val="start"/>
      <w:textAlignment w:val="auto"/>
    </w:pPr>
    <w:rPr>
      <w:rFonts w:ascii="Times" w:hAnsi="Times"/>
      <w:b/>
      <w:color w:val="000000"/>
      <w:sz w:val="32"/>
      <w:lang w:val="en-US" w:eastAsia="en-US"/>
    </w:rPr>
  </w:style>
  <w:style w:type="paragraph" w:styleId="Author">
    <w:name w:val="Author"/>
    <w:basedOn w:val="Normal"/>
    <w:qFormat/>
    <w:pPr>
      <w:widowControl w:val="false"/>
      <w:ind w:hanging="0" w:start="0" w:end="0"/>
      <w:jc w:val="center"/>
      <w:textAlignment w:val="auto"/>
    </w:pPr>
    <w:rPr>
      <w:rFonts w:ascii="Times" w:hAnsi="Times"/>
      <w:color w:val="000000"/>
      <w:sz w:val="24"/>
      <w:lang w:val="en-US" w:eastAsia="en-US"/>
    </w:rPr>
  </w:style>
  <w:style w:type="paragraph" w:styleId="Body">
    <w:name w:val="Body"/>
    <w:basedOn w:val="Normal"/>
    <w:qFormat/>
    <w:pPr>
      <w:widowControl w:val="false"/>
      <w:ind w:hanging="0" w:start="0" w:end="0"/>
      <w:jc w:val="start"/>
      <w:textAlignment w:val="auto"/>
    </w:pPr>
    <w:rPr>
      <w:rFonts w:ascii="Times" w:hAnsi="Times"/>
      <w:color w:val="000000"/>
      <w:sz w:val="24"/>
      <w:lang w:val="en-US" w:eastAsia="en-US"/>
    </w:rPr>
  </w:style>
  <w:style w:type="paragraph" w:styleId="CellBody">
    <w:name w:val="CellBody"/>
    <w:basedOn w:val="Normal"/>
    <w:qFormat/>
    <w:pPr>
      <w:widowControl w:val="false"/>
      <w:ind w:hanging="0" w:start="0" w:end="0"/>
      <w:jc w:val="start"/>
      <w:textAlignment w:val="auto"/>
    </w:pPr>
    <w:rPr>
      <w:rFonts w:ascii="Times" w:hAnsi="Times"/>
      <w:color w:val="000000"/>
      <w:sz w:val="20"/>
      <w:lang w:val="en-US" w:eastAsia="en-US"/>
    </w:rPr>
  </w:style>
  <w:style w:type="paragraph" w:styleId="CellHeading">
    <w:name w:val="CellHeading"/>
    <w:basedOn w:val="Normal"/>
    <w:qFormat/>
    <w:pPr>
      <w:widowControl w:val="false"/>
      <w:ind w:hanging="0" w:start="0" w:end="0"/>
      <w:jc w:val="start"/>
      <w:textAlignment w:val="auto"/>
    </w:pPr>
    <w:rPr>
      <w:rFonts w:ascii="Times" w:hAnsi="Times"/>
      <w:b/>
      <w:color w:val="000000"/>
      <w:sz w:val="20"/>
      <w:lang w:val="en-US" w:eastAsia="en-US"/>
    </w:rPr>
  </w:style>
  <w:style w:type="paragraph" w:styleId="Code">
    <w:name w:val="Code"/>
    <w:basedOn w:val="Normal"/>
    <w:qFormat/>
    <w:pPr>
      <w:widowControl w:val="false"/>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s>
      <w:ind w:hanging="0" w:start="1800" w:end="360"/>
      <w:jc w:val="start"/>
      <w:textAlignment w:val="auto"/>
    </w:pPr>
    <w:rPr>
      <w:rFonts w:ascii="Courier" w:hAnsi="Courier"/>
      <w:color w:val="000000"/>
      <w:sz w:val="16"/>
      <w:lang w:val="en-US" w:eastAsia="en-US"/>
    </w:rPr>
  </w:style>
  <w:style w:type="paragraph" w:styleId="Equation">
    <w:name w:val="Equation"/>
    <w:basedOn w:val="Normal"/>
    <w:qFormat/>
    <w:pPr>
      <w:widowControl w:val="false"/>
      <w:ind w:hanging="0" w:start="0" w:end="0"/>
      <w:jc w:val="center"/>
      <w:textAlignment w:val="auto"/>
    </w:pPr>
    <w:rPr>
      <w:rFonts w:ascii="Times" w:hAnsi="Times"/>
      <w:color w:val="000000"/>
      <w:sz w:val="20"/>
      <w:lang w:val="en-US" w:eastAsia="en-US"/>
    </w:rPr>
  </w:style>
  <w:style w:type="paragraph" w:styleId="Equationno">
    <w:name w:val="Equation (no #)"/>
    <w:basedOn w:val="Normal"/>
    <w:qFormat/>
    <w:pPr>
      <w:widowControl w:val="false"/>
      <w:ind w:hanging="0" w:start="0" w:end="0"/>
      <w:jc w:val="center"/>
      <w:textAlignment w:val="auto"/>
    </w:pPr>
    <w:rPr>
      <w:rFonts w:ascii="Times" w:hAnsi="Times"/>
      <w:color w:val="000000"/>
      <w:sz w:val="20"/>
      <w:lang w:val="en-US" w:eastAsia="en-US"/>
    </w:rPr>
  </w:style>
  <w:style w:type="paragraph" w:styleId="Extract">
    <w:name w:val="Extract"/>
    <w:basedOn w:val="Normal"/>
    <w:qFormat/>
    <w:pPr>
      <w:widowControl w:val="false"/>
      <w:ind w:hanging="0" w:start="1800" w:end="1080"/>
      <w:jc w:val="start"/>
      <w:textAlignment w:val="auto"/>
    </w:pPr>
    <w:rPr>
      <w:rFonts w:ascii="Times" w:hAnsi="Times"/>
      <w:color w:val="000000"/>
      <w:sz w:val="24"/>
      <w:lang w:val="en-US" w:eastAsia="en-US"/>
    </w:rPr>
  </w:style>
  <w:style w:type="paragraph" w:styleId="FigureFootnote">
    <w:name w:val="FigureFootnote"/>
    <w:basedOn w:val="Normal"/>
    <w:qFormat/>
    <w:pPr>
      <w:widowControl w:val="false"/>
      <w:tabs>
        <w:tab w:val="clear" w:pos="720"/>
        <w:tab w:val="left" w:pos="1930" w:leader="none"/>
      </w:tabs>
      <w:ind w:hanging="0" w:start="1930" w:end="360"/>
      <w:jc w:val="start"/>
      <w:textAlignment w:val="auto"/>
    </w:pPr>
    <w:rPr>
      <w:rFonts w:ascii="Times" w:hAnsi="Times"/>
      <w:color w:val="000000"/>
      <w:sz w:val="20"/>
      <w:lang w:val="en-US" w:eastAsia="en-US"/>
    </w:rPr>
  </w:style>
  <w:style w:type="paragraph" w:styleId="FigureTitle">
    <w:name w:val="FigureTitle"/>
    <w:basedOn w:val="Normal"/>
    <w:qFormat/>
    <w:pPr>
      <w:widowControl w:val="false"/>
      <w:tabs>
        <w:tab w:val="clear" w:pos="720"/>
        <w:tab w:val="left" w:pos="1887" w:leader="none"/>
      </w:tabs>
      <w:ind w:hanging="0" w:start="1887" w:end="0"/>
      <w:jc w:val="start"/>
      <w:textAlignment w:val="auto"/>
    </w:pPr>
    <w:rPr>
      <w:rFonts w:ascii="Times" w:hAnsi="Times"/>
      <w:b/>
      <w:color w:val="000000"/>
      <w:sz w:val="20"/>
      <w:lang w:val="en-US" w:eastAsia="en-US"/>
    </w:rPr>
  </w:style>
  <w:style w:type="paragraph" w:styleId="Footnote">
    <w:name w:val="Footnote"/>
    <w:basedOn w:val="Normal"/>
    <w:qFormat/>
    <w:pPr>
      <w:widowControl w:val="false"/>
      <w:ind w:hanging="0" w:start="0" w:end="0"/>
      <w:jc w:val="start"/>
      <w:textAlignment w:val="auto"/>
    </w:pPr>
    <w:rPr>
      <w:rFonts w:ascii="Times" w:hAnsi="Times"/>
      <w:color w:val="000000"/>
      <w:sz w:val="20"/>
      <w:lang w:val="en-US" w:eastAsia="en-US"/>
    </w:rPr>
  </w:style>
  <w:style w:type="paragraph" w:styleId="Import">
    <w:name w:val="Import"/>
    <w:basedOn w:val="Normal"/>
    <w:qFormat/>
    <w:pPr>
      <w:widowControl w:val="false"/>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s>
      <w:ind w:hanging="0" w:start="0" w:end="0"/>
      <w:jc w:val="start"/>
      <w:textAlignment w:val="auto"/>
    </w:pPr>
    <w:rPr>
      <w:rFonts w:ascii="Courier" w:hAnsi="Courier"/>
      <w:color w:val="000000"/>
      <w:sz w:val="16"/>
      <w:lang w:val="en-US" w:eastAsia="en-US"/>
    </w:rPr>
  </w:style>
  <w:style w:type="paragraph" w:styleId="Step">
    <w:name w:val="Step"/>
    <w:basedOn w:val="Normal"/>
    <w:qFormat/>
    <w:pPr>
      <w:widowControl w:val="false"/>
      <w:tabs>
        <w:tab w:val="clear" w:pos="720"/>
        <w:tab w:val="left" w:pos="2160" w:leader="none"/>
      </w:tabs>
      <w:ind w:hanging="273" w:start="1887" w:end="0"/>
      <w:jc w:val="start"/>
      <w:textAlignment w:val="auto"/>
    </w:pPr>
    <w:rPr>
      <w:rFonts w:ascii="Times" w:hAnsi="Times"/>
      <w:color w:val="000000"/>
      <w:sz w:val="24"/>
      <w:lang w:val="en-US" w:eastAsia="en-US"/>
    </w:rPr>
  </w:style>
  <w:style w:type="paragraph" w:styleId="TableFootnote">
    <w:name w:val="TableFootnote"/>
    <w:basedOn w:val="Normal"/>
    <w:qFormat/>
    <w:pPr>
      <w:widowControl w:val="false"/>
      <w:ind w:hanging="0" w:start="1930" w:end="360"/>
      <w:jc w:val="start"/>
      <w:textAlignment w:val="auto"/>
    </w:pPr>
    <w:rPr>
      <w:rFonts w:ascii="Times" w:hAnsi="Times"/>
      <w:color w:val="000000"/>
      <w:sz w:val="20"/>
      <w:lang w:val="en-US" w:eastAsia="en-US"/>
    </w:rPr>
  </w:style>
  <w:style w:type="paragraph" w:styleId="TableTitle">
    <w:name w:val="TableTitle"/>
    <w:basedOn w:val="Normal"/>
    <w:qFormat/>
    <w:pPr>
      <w:widowControl w:val="false"/>
      <w:tabs>
        <w:tab w:val="clear" w:pos="720"/>
        <w:tab w:val="left" w:pos="1887" w:leader="none"/>
      </w:tabs>
      <w:ind w:hanging="0" w:start="1887" w:end="0"/>
      <w:jc w:val="start"/>
      <w:textAlignment w:val="auto"/>
    </w:pPr>
    <w:rPr>
      <w:rFonts w:ascii="Times" w:hAnsi="Times"/>
      <w:b/>
      <w:color w:val="000000"/>
      <w:sz w:val="20"/>
      <w:lang w:val="en-US" w:eastAsia="en-US"/>
    </w:rPr>
  </w:style>
  <w:style w:type="paragraph" w:styleId="Title">
    <w:name w:val="Title"/>
    <w:basedOn w:val="Normal"/>
    <w:qFormat/>
    <w:pPr>
      <w:widowControl w:val="false"/>
      <w:ind w:hanging="0" w:start="0" w:end="0"/>
      <w:jc w:val="center"/>
      <w:textAlignment w:val="auto"/>
    </w:pPr>
    <w:rPr>
      <w:rFonts w:ascii="Times" w:hAnsi="Times"/>
      <w:color w:val="000000"/>
      <w:sz w:val="36"/>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Times" w:hAnsi="Times"/>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Times" w:hAnsi="Times"/>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1681</Words>
  <Characters>11767</Characters>
  <CharactersWithSpaces>9582</CharactersWithSpaces>
  <Company>Prediction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2001-10-16T15:15:00Z</dcterms:created>
  <dc:creator>Ollie Eisman</dc:creator>
  <dc:description/>
  <dc:language>en-CA</dc:language>
  <cp:lastModifiedBy/>
  <dcterms:modified xsi:type="dcterms:W3CDTF">2001-10-16T15:19:00Z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Ollie Eisman</vt:lpwstr>
  </property>
</Properties>
</file>