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-381000</wp:posOffset>
                </wp:positionH>
                <wp:positionV relativeFrom="paragraph">
                  <wp:posOffset>-114300</wp:posOffset>
                </wp:positionV>
                <wp:extent cx="62484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0pt,-9pt" to="461.95pt,-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Analysis - Japan</w:t>
      </w:r>
      <w:r>
        <w:rPr/>
        <w:t>’</w:t>
      </w:r>
      <w:r>
        <w:rPr/>
        <w:t>s Upper House Election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US" w:eastAsia="en-CA"/>
        </w:rPr>
      </w:pPr>
      <w:r>
        <w:rPr>
          <w:sz w:val="20"/>
          <w:lang w:val="en-US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562600" cy="1828800"/>
                <wp:effectExtent l="5080" t="5080" r="5715" b="571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>Summary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rFonts w:cs="NotoSans NF" w:eastAsia="Liberation Sans" w:ascii="Liberation Serif" w:hAnsi="Liberation Serif"/>
                                <w:lang w:bidi="hi-IN" w:val="en-CA" w:eastAsia="zh-C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>As shown in the chart below, the LDP/Komeito party holds 130 of 247 upper house seats.  LDP has cast success as the coalition retaining a majority of 127 seats in the July 29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vertAlign w:val="superscript"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>th</w:t>
                            </w: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 xml:space="preserve"> election, reflecting the unpopularity of the previous PM.  Projections support that outcome, with a possible gain of 14 seats.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>The real struggle will begin following the election, as the more conservative factions of the LDP attempt to re-assert control.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fillcolor="#dddddd" stroked="t" o:allowincell="f" style="position:absolute;margin-left:0pt;margin-top:-0.25pt;width:437.95pt;height:143.9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>Summary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rFonts w:cs="NotoSans NF" w:eastAsia="Liberation Sans" w:ascii="Liberation Serif" w:hAnsi="Liberation Serif"/>
                          <w:lang w:bidi="hi-IN" w:val="en-CA" w:eastAsia="zh-C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>As shown in the chart below, the LDP/Komeito party holds 130 of 247 upper house seats.  LDP has cast success as the coalition retaining a majority of 127 seats in the July 29</w:t>
                      </w: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vertAlign w:val="superscript"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>th</w:t>
                      </w: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 xml:space="preserve"> election, reflecting the unpopularity of the previous PM.  Projections support that outcome, with a possible gain of 14 seats. </w:t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>The real struggle will begin following the election, as the more conservative factions of the LDP attempt to re-assert control.</w:t>
                      </w:r>
                    </w:p>
                  </w:txbxContent>
                </v:textbox>
                <v:fill o:detectmouseclick="t" type="solid" color2="#222222"/>
                <v:stroke color="black" weight="9360" joinstyle="miter" endcap="flat"/>
                <w10:wrap type="none"/>
              </v:round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6495" w:leader="none"/>
        </w:tabs>
        <w:rPr/>
      </w:pPr>
      <w:r>
        <w:rPr>
          <w:rFonts w:eastAsia="Arial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2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2"/>
        <w:ind w:hanging="0" w:start="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Overview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jc w:val="both"/>
        <w:rPr/>
      </w:pPr>
      <w:r>
        <w:rPr/>
        <w:t>The House of Councillors (Upper House) is the less powerful of the two houses in Japan</w:t>
      </w:r>
      <w:r>
        <w:rPr/>
        <w:t>’</w:t>
      </w:r>
      <w:r>
        <w:rPr/>
        <w:t>s bicameral parliament, with the government of the day formed from the majority party in the House of Representatives (Lower House).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jc w:val="both"/>
        <w:rPr/>
      </w:pPr>
      <w:r>
        <w:rPr/>
        <w:t>An Upper House election is to be held on July 29</w:t>
      </w:r>
      <w:r>
        <w:rPr>
          <w:vertAlign w:val="superscript"/>
        </w:rPr>
        <w:t>th</w:t>
      </w:r>
      <w:r>
        <w:rPr/>
        <w:t xml:space="preserve">. Elections for </w:t>
      </w:r>
      <w:r>
        <w:rPr>
          <w:i/>
          <w:iCs/>
        </w:rPr>
        <w:t>half</w:t>
      </w:r>
      <w:r>
        <w:rPr/>
        <w:t xml:space="preserve"> the house</w:t>
      </w:r>
      <w:r>
        <w:rPr/>
        <w:t xml:space="preserve"> (121 seats this year)</w:t>
      </w:r>
      <w:r>
        <w:rPr/>
        <w:t xml:space="preserve"> are held every three years, with a </w:t>
      </w:r>
      <w:r>
        <w:rPr/>
        <w:t>councillor’s</w:t>
      </w:r>
      <w:r>
        <w:rPr/>
        <w:t xml:space="preserve"> term in office six years.</w:t>
      </w:r>
      <w:r>
        <w:rPr/>
        <w:t xml:space="preserve">  </w:t>
      </w:r>
      <w:r>
        <w:rPr/>
        <w:t xml:space="preserve">The coalition government is </w:t>
      </w:r>
      <w:r>
        <w:rPr/>
        <w:t xml:space="preserve">projected </w:t>
      </w:r>
      <w:r>
        <w:rPr/>
        <w:t xml:space="preserve">to </w:t>
      </w:r>
      <w:r>
        <w:rPr/>
        <w:t>win</w:t>
      </w:r>
      <w:r>
        <w:rPr/>
        <w:t xml:space="preserve"> between 127 </w:t>
      </w:r>
      <w:r>
        <w:rPr/>
        <w:t>and</w:t>
      </w:r>
      <w:r>
        <w:rPr/>
        <w:t xml:space="preserve"> 141 seats in the Upper House as a result of the election, a majority in the </w:t>
      </w:r>
      <w:r>
        <w:rPr/>
        <w:t>247-seat</w:t>
      </w:r>
      <w:r>
        <w:rPr/>
        <w:t xml:space="preserve"> chamber.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360" w:end="0"/>
        <w:jc w:val="center"/>
        <w:rPr/>
      </w:pPr>
      <w:r>
        <w:rPr>
          <w:b/>
          <w:bCs/>
        </w:rPr>
        <w:t xml:space="preserve">2001 Upper House </w:t>
      </w:r>
      <w:r>
        <w:rPr>
          <w:b/>
          <w:bCs/>
        </w:rPr>
        <w:t>–</w:t>
      </w:r>
      <w:r>
        <w:rPr>
          <w:b/>
          <w:bCs/>
        </w:rPr>
        <w:t xml:space="preserve"> Party Strengths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7840" w:type="dxa"/>
        <w:jc w:val="center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960"/>
        <w:gridCol w:w="1900"/>
        <w:gridCol w:w="1660"/>
        <w:gridCol w:w="1660"/>
        <w:gridCol w:w="1660"/>
      </w:tblGrid>
      <w:tr>
        <w:trPr>
          <w:trHeight w:val="723" w:hRule="atLeast"/>
        </w:trPr>
        <w:tc>
          <w:tcPr>
            <w:tcW w:w="960" w:type="dxa"/>
            <w:tcBorders>
              <w:top w:val="double" w:sz="6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Political Party</w:t>
            </w:r>
          </w:p>
        </w:tc>
        <w:tc>
          <w:tcPr>
            <w:tcW w:w="1660" w:type="dxa"/>
            <w:tcBorders>
              <w:top w:val="doub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Current No. of Seats</w:t>
            </w:r>
          </w:p>
        </w:tc>
        <w:tc>
          <w:tcPr>
            <w:tcW w:w="1660" w:type="dxa"/>
            <w:tcBorders>
              <w:top w:val="double" w:sz="6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No. of Seats to be Contested</w:t>
            </w:r>
          </w:p>
        </w:tc>
        <w:tc>
          <w:tcPr>
            <w:tcW w:w="1660" w:type="dxa"/>
            <w:tcBorders>
              <w:top w:val="double" w:sz="6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Likely Seats Won</w:t>
            </w:r>
            <w:r>
              <w:rPr>
                <w:rStyle w:val="FootnoteCharacters"/>
                <w:rStyle w:val="FootnoteReference"/>
                <w:b/>
                <w:bCs/>
                <w:szCs w:val="22"/>
              </w:rPr>
              <w:footnoteReference w:id="2"/>
            </w:r>
          </w:p>
        </w:tc>
      </w:tr>
      <w:tr>
        <w:trPr>
          <w:trHeight w:val="543" w:hRule="atLeast"/>
        </w:trPr>
        <w:tc>
          <w:tcPr>
            <w:tcW w:w="960" w:type="dxa"/>
            <w:vMerge w:val="restart"/>
            <w:tcBorders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Coalition Government</w:t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LDP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107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61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58-68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Komeito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9</w:t>
            </w:r>
            <w:r>
              <w:rPr>
                <w:szCs w:val="22"/>
              </w:rPr>
              <w:t>-12</w:t>
            </w:r>
          </w:p>
        </w:tc>
      </w:tr>
      <w:tr>
        <w:trPr>
          <w:trHeight w:val="543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New Conservatives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0-1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restart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Opposition Parties</w:t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Democrats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55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22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21-30</w:t>
            </w:r>
          </w:p>
        </w:tc>
      </w:tr>
      <w:tr>
        <w:trPr>
          <w:trHeight w:val="543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Communists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4-10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Socialists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3-8</w:t>
            </w:r>
          </w:p>
        </w:tc>
      </w:tr>
      <w:tr>
        <w:trPr>
          <w:trHeight w:val="543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Liberals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3-7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Others</w:t>
            </w:r>
          </w:p>
        </w:tc>
        <w:tc>
          <w:tcPr>
            <w:tcW w:w="1660" w:type="dxa"/>
            <w:tcBorders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660" w:type="dxa"/>
            <w:tcBorders/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1660" w:type="dxa"/>
            <w:tcBorders>
              <w:start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2-10</w:t>
            </w:r>
            <w:r>
              <w:rPr>
                <w:szCs w:val="22"/>
              </w:rPr>
              <w:t> </w:t>
            </w:r>
          </w:p>
        </w:tc>
      </w:tr>
      <w:tr>
        <w:trPr>
          <w:trHeight w:val="487" w:hRule="atLeast"/>
        </w:trPr>
        <w:tc>
          <w:tcPr>
            <w:tcW w:w="2860" w:type="dxa"/>
            <w:gridSpan w:val="2"/>
            <w:tcBorders>
              <w:top w:val="single" w:sz="8" w:space="0" w:color="000000"/>
              <w:start w:val="double" w:sz="6" w:space="0" w:color="000000"/>
              <w:bottom w:val="doub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1660" w:type="dxa"/>
            <w:tcBorders>
              <w:top w:val="single" w:sz="8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>
              <w:rPr>
                <w:rStyle w:val="FootnoteCharacters"/>
                <w:rStyle w:val="FootnoteReference"/>
                <w:sz w:val="20"/>
                <w:szCs w:val="20"/>
              </w:rPr>
              <w:footnoteReference w:id="3"/>
            </w:r>
          </w:p>
        </w:tc>
        <w:tc>
          <w:tcPr>
            <w:tcW w:w="1660" w:type="dxa"/>
            <w:tcBorders>
              <w:top w:val="single" w:sz="8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2"/>
              </w:rPr>
              <w:t>121</w:t>
            </w:r>
          </w:p>
        </w:tc>
        <w:tc>
          <w:tcPr>
            <w:tcW w:w="1660" w:type="dxa"/>
            <w:tcBorders>
              <w:top w:val="single" w:sz="8" w:space="0" w:color="000000"/>
              <w:start w:val="single" w:sz="4" w:space="0" w:color="000000"/>
              <w:bottom w:val="double" w:sz="6" w:space="0" w:color="000000"/>
              <w:end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  <w:r>
              <w:rPr>
                <w:szCs w:val="22"/>
              </w:rPr>
              <w:t>-</w:t>
            </w:r>
          </w:p>
        </w:tc>
      </w:tr>
    </w:tbl>
    <w:p>
      <w:pPr>
        <w:pStyle w:val="Header"/>
        <w:tabs>
          <w:tab w:val="clear" w:pos="4419"/>
          <w:tab w:val="clear" w:pos="8838"/>
        </w:tabs>
        <w:jc w:val="both"/>
        <w:rPr>
          <w:b/>
          <w:bCs/>
          <w:lang w:eastAsia="ja-JP"/>
        </w:rPr>
      </w:pPr>
      <w:r>
        <w:br w:type="page"/>
      </w:r>
      <w:r>
        <w:rPr>
          <w:b/>
          <w:bCs/>
          <w:lang w:eastAsia="ja-JP"/>
        </w:rPr>
      </w:r>
    </w:p>
    <w:p>
      <w:pPr>
        <w:pStyle w:val="Header"/>
        <w:tabs>
          <w:tab w:val="clear" w:pos="4419"/>
          <w:tab w:val="clear" w:pos="8838"/>
        </w:tabs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-457200</wp:posOffset>
                </wp:positionH>
                <wp:positionV relativeFrom="paragraph">
                  <wp:posOffset>-160655</wp:posOffset>
                </wp:positionV>
                <wp:extent cx="62484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6pt,-12.65pt" to="455.95pt,-1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sz w:val="24"/>
          <w:lang w:eastAsia="ja-JP"/>
        </w:rPr>
        <w:t xml:space="preserve">Coalition </w:t>
      </w:r>
      <w:r>
        <w:rPr>
          <w:b/>
          <w:bCs/>
          <w:sz w:val="24"/>
          <w:lang w:eastAsia="ja-JP"/>
        </w:rPr>
        <w:t>Government</w:t>
      </w:r>
      <w:r>
        <w:rPr>
          <w:b/>
          <w:bCs/>
          <w:sz w:val="24"/>
          <w:lang w:eastAsia="ja-JP"/>
        </w:rPr>
        <w:t xml:space="preserve"> Likely to Secure Majority</w:t>
      </w:r>
    </w:p>
    <w:p>
      <w:pPr>
        <w:pStyle w:val="Header"/>
        <w:tabs>
          <w:tab w:val="clear" w:pos="4419"/>
          <w:tab w:val="clear" w:pos="8838"/>
        </w:tabs>
        <w:jc w:val="both"/>
        <w:rPr>
          <w:b/>
          <w:bCs/>
          <w:sz w:val="24"/>
          <w:lang w:eastAsia="ja-JP"/>
        </w:rPr>
      </w:pPr>
      <w:r>
        <w:rPr>
          <w:b/>
          <w:bCs/>
          <w:sz w:val="24"/>
          <w:lang w:eastAsia="ja-JP"/>
        </w:rPr>
      </w:r>
    </w:p>
    <w:p>
      <w:pPr>
        <w:pStyle w:val="Header"/>
        <w:numPr>
          <w:ilvl w:val="0"/>
          <w:numId w:val="3"/>
        </w:numPr>
        <w:tabs>
          <w:tab w:val="clear" w:pos="4419"/>
          <w:tab w:val="clear" w:pos="8838"/>
        </w:tabs>
        <w:ind w:hanging="360" w:start="360" w:end="0"/>
        <w:jc w:val="both"/>
        <w:rPr>
          <w:lang w:eastAsia="ja-JP"/>
        </w:rPr>
      </w:pPr>
      <w:r>
        <w:rPr>
          <w:lang w:eastAsia="ja-JP"/>
        </w:rPr>
        <w:t>The</w:t>
      </w:r>
      <w:r>
        <w:rPr>
          <w:lang w:eastAsia="ja-JP"/>
        </w:rPr>
        <w:t xml:space="preserve"> coalition government is highly likely to secure a majority in the election, as the </w:t>
      </w:r>
      <w:r>
        <w:rPr>
          <w:lang w:eastAsia="ja-JP"/>
        </w:rPr>
        <w:t>Koizumi Cabinet continues to maintain unprecedented levels of support from the public</w:t>
      </w:r>
      <w:r>
        <w:rPr>
          <w:rStyle w:val="FootnoteCharacters"/>
          <w:rStyle w:val="FootnoteReference"/>
          <w:lang w:eastAsia="ja-JP"/>
        </w:rPr>
        <w:footnoteReference w:id="4"/>
      </w:r>
      <w:r>
        <w:rPr>
          <w:lang w:eastAsia="ja-JP"/>
        </w:rPr>
        <w:t xml:space="preserve">. </w:t>
      </w:r>
    </w:p>
    <w:p>
      <w:pPr>
        <w:pStyle w:val="Header"/>
        <w:tabs>
          <w:tab w:val="clear" w:pos="4419"/>
          <w:tab w:val="clear" w:pos="8838"/>
        </w:tabs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Header"/>
        <w:tabs>
          <w:tab w:val="clear" w:pos="4419"/>
          <w:tab w:val="clear" w:pos="8838"/>
        </w:tabs>
        <w:jc w:val="center"/>
        <w:rPr>
          <w:lang w:eastAsia="ja-JP"/>
        </w:rPr>
      </w:pPr>
      <w:r>
        <w:rPr>
          <w:b/>
          <w:bCs/>
          <w:lang w:eastAsia="ja-JP"/>
        </w:rPr>
        <w:t>Koizumi Cabinet Support</w:t>
      </w:r>
    </w:p>
    <w:p>
      <w:pPr>
        <w:pStyle w:val="Header"/>
        <w:tabs>
          <w:tab w:val="clear" w:pos="4419"/>
          <w:tab w:val="clear" w:pos="8838"/>
        </w:tabs>
        <w:jc w:val="center"/>
        <w:rPr>
          <w:lang w:eastAsia="ja-JP"/>
        </w:rPr>
      </w:pPr>
      <w:r>
        <w:rPr/>
        <w:object w:dxaOrig="6401" w:dyaOrig="435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98.45pt;height:222.7pt" filled="f" o:ole="">
            <v:imagedata r:id="rId3" o:title=""/>
          </v:shape>
          <o:OLEObject Type="Embed" ProgID="Excel.Sheet.12" ShapeID="ole_rId2" DrawAspect="Content" ObjectID="_732088384" r:id="rId2"/>
        </w:objec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jc w:val="both"/>
        <w:rPr/>
      </w:pPr>
      <w:r>
        <w:rPr/>
        <w:t>Despite PM Koizumi</w:t>
      </w:r>
      <w:r>
        <w:rPr/>
        <w:t>’</w:t>
      </w:r>
      <w:r>
        <w:rPr/>
        <w:t xml:space="preserve">s personal popularity the election result remains unpredictable, as </w:t>
      </w:r>
      <w:r>
        <w:rPr/>
        <w:t>approximately</w:t>
      </w:r>
      <w:r>
        <w:rPr/>
        <w:t xml:space="preserve"> half the electorate remain undecided according to opinion polls. The current level of party support </w:t>
      </w:r>
      <w:r>
        <w:rPr/>
        <w:t>for the</w:t>
      </w:r>
      <w:r>
        <w:rPr/>
        <w:t xml:space="preserve"> LDP is running in the 30 percent range, with the support for major opposition Democratic Party at around 10 percent.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>
          <w:sz w:val="24"/>
        </w:rPr>
        <w:t>Post-election Scenario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jc w:val="both"/>
        <w:rPr/>
      </w:pPr>
      <w:r>
        <w:rPr/>
        <w:t xml:space="preserve">Success in the election will give a boost to the Koizumi Cabinet, as he will be credited with bringing the LDP back from almost certain defeat under the leadership of the unpopular Yoshiro </w:t>
      </w:r>
      <w:r>
        <w:rPr>
          <w:i/>
          <w:iCs/>
        </w:rPr>
        <w:t>MORI</w:t>
      </w:r>
      <w:r>
        <w:rPr/>
        <w:t>, the previous prime minister.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jc w:val="both"/>
        <w:rPr/>
      </w:pPr>
      <w:r>
        <w:rPr/>
        <w:t xml:space="preserve">Nevertheless intra-party conflict is likely to increase following the election as </w:t>
      </w:r>
      <w:r>
        <w:rPr/>
        <w:t>the</w:t>
      </w:r>
      <w:r>
        <w:rPr/>
        <w:t xml:space="preserve"> status-quo factions within the LDP attempt to regain the ascendancy within the party.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jc w:val="both"/>
        <w:rPr/>
      </w:pPr>
      <w:r>
        <w:rPr/>
        <w:t>Possible outcomes, in order of likelihood, include: 1) a continuation of Koizumi</w:t>
      </w:r>
      <w:r>
        <w:rPr/>
        <w:t>’</w:t>
      </w:r>
      <w:r>
        <w:rPr/>
        <w:t>s reforms at a pace dictated by the party as a whole; 2) the reassertion of control by the status-quo faction with Koizumi left as a lame-duck; 3) a general election and/or split in the LDP.</w:t>
      </w:r>
    </w:p>
    <w:p>
      <w:pPr>
        <w:pStyle w:val="Normal"/>
        <w:jc w:val="both"/>
        <w:rPr/>
      </w:pPr>
      <w:r>
        <w:rPr/>
        <w:t>.</w:t>
      </w:r>
    </w:p>
    <w:p>
      <w:pPr>
        <w:pStyle w:val="Normal"/>
        <w:jc w:val="both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800" w:right="180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204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16"/>
        </w:rPr>
        <w:t>Asahi Shimbun July 24, p.1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sz w:val="16"/>
        </w:rPr>
        <w:t xml:space="preserve"> </w:t>
      </w:r>
      <w:r>
        <w:rPr>
          <w:sz w:val="16"/>
        </w:rPr>
        <w:t xml:space="preserve">A revision to the Diet Law passed in October 2000 resulted in the number of seats </w:t>
      </w:r>
      <w:r>
        <w:rPr>
          <w:sz w:val="16"/>
        </w:rPr>
        <w:t>in the</w:t>
      </w:r>
      <w:r>
        <w:rPr>
          <w:sz w:val="16"/>
        </w:rPr>
        <w:t xml:space="preserve"> Upper House being reduced from 252 to 247 for this election, with the number of contested seats reduced to 121 from 126.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sz w:val="16"/>
        </w:rPr>
        <w:t xml:space="preserve"> </w:t>
      </w:r>
      <w:r>
        <w:rPr>
          <w:sz w:val="16"/>
        </w:rPr>
        <w:t>News Station Survey. http://www.tv-asahi.co.jp/broadcast/n-station/research/siji_datail.html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0"/>
        <w:lang w:eastAsia="ja-JP"/>
      </w:rPr>
      <w:t>CONFIDENTIAL</w:t>
    </w:r>
    <w:r>
      <w:rPr>
        <w:sz w:val="20"/>
        <w:lang w:eastAsia="ja-JP"/>
      </w:rPr>
      <w:tab/>
      <w:tab/>
      <w:t>26-Jul-01</w:t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ＭＳ 明朝;MS Mincho" w:cs="Arial"/>
      <w:color w:val="auto"/>
      <w:sz w:val="22"/>
      <w:szCs w:val="24"/>
      <w:lang w:val="en-GB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character" w:styleId="WW8Num1z0">
    <w:name w:val="WW8Num1z0"/>
    <w:qFormat/>
    <w:rPr>
      <w:rFonts w:ascii="Symbol" w:hAnsi="Symbol" w:eastAsia="ＭＳ 明朝;MS Mincho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ＭＳ 明朝;MS Mincho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ＭＳ 明朝;MS Mincho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2001-07-26T14:22:00Z</dcterms:created>
  <dc:creator>lhughes2</dc:creator>
  <dc:description/>
  <dc:language>en-CA</dc:language>
  <cp:lastModifiedBy>mgrimes</cp:lastModifiedBy>
  <cp:lastPrinted>2001-07-27T00:39:00Z</cp:lastPrinted>
  <dcterms:modified xsi:type="dcterms:W3CDTF">2001-07-26T14:22:00Z</dcterms:modified>
  <cp:revision>2</cp:revision>
  <dc:subject/>
  <dc:title>Analysis - Japan’s Upper House Election</dc:title>
</cp:coreProperties>
</file>