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u w:val="single"/>
        </w:rPr>
      </w:pPr>
      <w:r>
        <w:rPr>
          <w:b/>
          <w:bCs/>
          <w:sz w:val="28"/>
          <w:u w:val="single"/>
        </w:rPr>
        <w:t>Pre-Close Observation Procedures</w:t>
      </w:r>
    </w:p>
    <w:p>
      <w:pPr>
        <w:pStyle w:val="Normal"/>
        <w:jc w:val="center"/>
        <w:rPr>
          <w:b/>
          <w:bCs/>
          <w:sz w:val="28"/>
        </w:rPr>
      </w:pPr>
      <w:r>
        <w:rPr>
          <w:b/>
          <w:bCs/>
          <w:sz w:val="28"/>
          <w:u w:val="single"/>
        </w:rPr>
        <w:t>Assuming June 1 Close</w:t>
      </w:r>
    </w:p>
    <w:p>
      <w:pPr>
        <w:pStyle w:val="Normal"/>
        <w:rPr>
          <w:b/>
          <w:bCs/>
          <w:sz w:val="28"/>
        </w:rPr>
      </w:pPr>
      <w:r>
        <w:rPr>
          <w:b/>
          <w:bCs/>
          <w:sz w:val="28"/>
        </w:rPr>
      </w:r>
    </w:p>
    <w:p>
      <w:pPr>
        <w:pStyle w:val="Normal"/>
        <w:rPr/>
      </w:pPr>
      <w:r>
        <w:rPr/>
      </w:r>
    </w:p>
    <w:p>
      <w:pPr>
        <w:pStyle w:val="Normal"/>
        <w:rPr/>
      </w:pPr>
      <w:r>
        <w:rPr/>
      </w:r>
    </w:p>
    <w:p>
      <w:pPr>
        <w:pStyle w:val="Normal"/>
        <w:numPr>
          <w:ilvl w:val="0"/>
          <w:numId w:val="1"/>
        </w:numPr>
        <w:jc w:val="both"/>
        <w:rPr/>
      </w:pPr>
      <w:r>
        <w:rPr/>
        <w:t xml:space="preserve">Pursuant to Section 7.13 of the Purchase and Sale Agreement between Enron and AEP (“PSA”), AEP is entitled to have a third Observation Period for purposes of familiarizing its Representatives with the HPL business operations.  The parties have agreed that this Observation Period will commence </w:t>
      </w:r>
      <w:r>
        <w:rPr>
          <w:color w:val="000000"/>
          <w:szCs w:val="20"/>
        </w:rPr>
        <w:t>on or about May 21, and will continue through May 31, 2001 (“June Bid Week”) and will occur</w:t>
      </w:r>
      <w:r>
        <w:rPr/>
        <w:t xml:space="preserve"> at the current HPL location at 1201 Louisiana Street, Houston, Texas during normal business hours. </w:t>
      </w:r>
    </w:p>
    <w:p>
      <w:pPr>
        <w:pStyle w:val="Normal"/>
        <w:ind w:start="360" w:end="0"/>
        <w:jc w:val="both"/>
        <w:rPr/>
      </w:pPr>
      <w:r>
        <w:rPr/>
      </w:r>
    </w:p>
    <w:p>
      <w:pPr>
        <w:pStyle w:val="Normal"/>
        <w:numPr>
          <w:ilvl w:val="0"/>
          <w:numId w:val="1"/>
        </w:numPr>
        <w:jc w:val="both"/>
        <w:rPr/>
      </w:pPr>
      <w:r>
        <w:rPr/>
        <w:t xml:space="preserve">During June Bid Week, HPL employees will continue to operate HPL’s business in its ordinary course, but subject to the following: </w:t>
      </w:r>
    </w:p>
    <w:p>
      <w:pPr>
        <w:pStyle w:val="Normal"/>
        <w:numPr>
          <w:ilvl w:val="1"/>
          <w:numId w:val="1"/>
        </w:numPr>
        <w:jc w:val="both"/>
        <w:rPr/>
      </w:pPr>
      <w:r>
        <w:rPr/>
        <w:t xml:space="preserve">With respect to June Bid Week activities relating to June business, HPL employees will not be under the supervision of the ENA Texas Desk and will not disclose to ENA the positions taken by HPL. </w:t>
      </w:r>
    </w:p>
    <w:p>
      <w:pPr>
        <w:pStyle w:val="Normal"/>
        <w:numPr>
          <w:ilvl w:val="1"/>
          <w:numId w:val="1"/>
        </w:numPr>
        <w:jc w:val="both"/>
        <w:rPr/>
      </w:pPr>
      <w:r>
        <w:rPr/>
        <w:t>With respect to June Bid Week activities relating to June business, HPL employees will take into consideration the pending sale of HPL and the goals of AEP (as conveyed by the Site Representatives) for HPL’s post-Close business for HPL.</w:t>
      </w:r>
    </w:p>
    <w:p>
      <w:pPr>
        <w:pStyle w:val="Normal"/>
        <w:numPr>
          <w:ilvl w:val="1"/>
          <w:numId w:val="1"/>
        </w:numPr>
        <w:jc w:val="both"/>
        <w:rPr/>
      </w:pPr>
      <w:r>
        <w:rPr/>
        <w:t xml:space="preserve">HPL’s ongoing May business will continue to be handled by HPL, as currently conducted but via a dedicated line.  HPL employees shall conduct business for May being mindful of the presence of the Site Representatives and being mindful that such persons are not allowed to have access to or receive any information concerning HPL’s May business or ENA’s business for any period of time (other than as contemplated by the PSA). </w:t>
      </w:r>
    </w:p>
    <w:p>
      <w:pPr>
        <w:pStyle w:val="Normal"/>
        <w:jc w:val="both"/>
        <w:rPr/>
      </w:pPr>
      <w:r>
        <w:rPr/>
      </w:r>
    </w:p>
    <w:p>
      <w:pPr>
        <w:pStyle w:val="Normal"/>
        <w:numPr>
          <w:ilvl w:val="0"/>
          <w:numId w:val="1"/>
        </w:numPr>
        <w:jc w:val="both"/>
        <w:rPr/>
      </w:pPr>
      <w:r>
        <w:rPr/>
        <w:t xml:space="preserve">Subject to paragraph 2 above, during June Bid Week ENA and HPL will continue to conduct business in Texas consistent with past practice, provided that ENA will also conduct business at the following locations:  Waha, Carthage and Katy Tailgate.  </w:t>
      </w:r>
    </w:p>
    <w:p>
      <w:pPr>
        <w:pStyle w:val="Normal"/>
        <w:jc w:val="both"/>
        <w:rPr/>
      </w:pPr>
      <w:r>
        <w:rPr/>
      </w:r>
    </w:p>
    <w:p>
      <w:pPr>
        <w:pStyle w:val="Normal"/>
        <w:numPr>
          <w:ilvl w:val="0"/>
          <w:numId w:val="1"/>
        </w:numPr>
        <w:jc w:val="both"/>
        <w:rPr/>
      </w:pPr>
      <w:r>
        <w:rPr/>
        <w:t>In the event the Closing Date shall be delayed past June 1, 2001, the following procedures shall apply to transactions entered into by HPL after May 21, for the month of  June , 2001.</w:t>
      </w:r>
    </w:p>
    <w:p>
      <w:pPr>
        <w:pStyle w:val="Normal"/>
        <w:jc w:val="both"/>
        <w:rPr/>
      </w:pPr>
      <w:r>
        <w:rPr/>
      </w:r>
    </w:p>
    <w:p>
      <w:pPr>
        <w:pStyle w:val="Normal"/>
        <w:ind w:start="720" w:end="0"/>
        <w:jc w:val="both"/>
        <w:rPr/>
      </w:pPr>
      <w:r>
        <w:rPr/>
        <w:t>The initial HPL</w:t>
      </w:r>
      <w:r>
        <w:rPr>
          <w:rStyle w:val="FootnoteCharacters"/>
          <w:rStyle w:val="FootnoteReference"/>
        </w:rPr>
        <w:footnoteReference w:customMarkFollows="1" w:id="2"/>
        <w:t>1</w:t>
      </w:r>
      <w:r>
        <w:rPr/>
        <w:t xml:space="preserve"> core term index physical position plus all HPL 30 day index physical deals will be swapped out at Gas Daily index at the nearest relevant Gas Daily index point (i.e. HSC) after netting out any volumes targeted by HPL for Bammel storage injections for June.</w:t>
      </w:r>
    </w:p>
    <w:p>
      <w:pPr>
        <w:pStyle w:val="Normal"/>
        <w:jc w:val="both"/>
        <w:rPr/>
      </w:pPr>
      <w:r>
        <w:rPr/>
      </w:r>
    </w:p>
    <w:p>
      <w:pPr>
        <w:pStyle w:val="Normal"/>
        <w:autoSpaceDE w:val="false"/>
        <w:spacing w:lineRule="atLeast" w:line="240"/>
        <w:ind w:start="720" w:end="0"/>
        <w:jc w:val="both"/>
        <w:rPr/>
      </w:pPr>
      <w:r>
        <w:rPr>
          <w:color w:val="000000"/>
          <w:szCs w:val="20"/>
        </w:rPr>
        <w:t>Volumes so targeted for storage injections and actually injected up to 400,000 mmbtu/d</w:t>
      </w:r>
      <w:r>
        <w:rPr>
          <w:rStyle w:val="FootnoteCharacters"/>
          <w:rStyle w:val="FootnoteReference"/>
          <w:color w:val="000000"/>
          <w:szCs w:val="20"/>
        </w:rPr>
        <w:footnoteReference w:customMarkFollows="1" w:id="3"/>
        <w:t>2</w:t>
      </w:r>
      <w:r>
        <w:rPr>
          <w:color w:val="000000"/>
          <w:szCs w:val="20"/>
        </w:rPr>
        <w:t xml:space="preserve"> for June will be sold to AEP in the ground at June IFGMR HSC FOM index + actual electric compression costs associated with such volumes so targeted by HPL and actually injected during the month of June. Volumes so targeted for storage are those volumes so specified by HPL that can physically get to Bammel storage during June. Any additional volumes injected at the discretion of ENA into Bammel for June will be sold to AEP at July IFGMR HSC FOM index.  </w:t>
      </w:r>
    </w:p>
    <w:p>
      <w:pPr>
        <w:pStyle w:val="Normal"/>
        <w:autoSpaceDE w:val="false"/>
        <w:spacing w:lineRule="atLeast" w:line="240"/>
        <w:ind w:start="720" w:end="0"/>
        <w:jc w:val="both"/>
        <w:rPr>
          <w:color w:val="000000"/>
          <w:szCs w:val="20"/>
        </w:rPr>
      </w:pPr>
      <w:r>
        <w:rPr>
          <w:color w:val="000000"/>
          <w:szCs w:val="20"/>
        </w:rPr>
      </w:r>
    </w:p>
    <w:p>
      <w:pPr>
        <w:pStyle w:val="Normal"/>
        <w:autoSpaceDE w:val="false"/>
        <w:spacing w:lineRule="atLeast" w:line="240"/>
        <w:jc w:val="both"/>
        <w:rPr>
          <w:color w:val="000000"/>
          <w:szCs w:val="20"/>
        </w:rPr>
      </w:pPr>
      <w:r>
        <w:rPr>
          <w:color w:val="000000"/>
          <w:szCs w:val="20"/>
        </w:rPr>
      </w:r>
    </w:p>
    <w:p>
      <w:pPr>
        <w:pStyle w:val="Normal"/>
        <w:autoSpaceDE w:val="false"/>
        <w:spacing w:lineRule="atLeast" w:line="240"/>
        <w:ind w:start="1440" w:end="0"/>
        <w:jc w:val="both"/>
        <w:rPr>
          <w:color w:val="000000"/>
          <w:szCs w:val="20"/>
          <w:u w:val="single"/>
        </w:rPr>
      </w:pPr>
      <w:r>
        <w:rPr>
          <w:color w:val="000000"/>
          <w:szCs w:val="20"/>
          <w:u w:val="single"/>
        </w:rPr>
        <w:t>Examples</w:t>
      </w:r>
    </w:p>
    <w:p>
      <w:pPr>
        <w:pStyle w:val="Normal"/>
        <w:autoSpaceDE w:val="false"/>
        <w:spacing w:lineRule="atLeast" w:line="240"/>
        <w:ind w:start="1440" w:end="0"/>
        <w:jc w:val="both"/>
        <w:rPr>
          <w:color w:val="000000"/>
          <w:szCs w:val="20"/>
          <w:u w:val="single"/>
        </w:rPr>
      </w:pPr>
      <w:r>
        <w:rPr>
          <w:color w:val="000000"/>
          <w:szCs w:val="20"/>
          <w:u w:val="single"/>
        </w:rPr>
        <w:t>(All gas volumes/positions are deemed to be in mmbtu/day; also term positions shall be those of a duration in excess of a month)</w:t>
      </w:r>
    </w:p>
    <w:p>
      <w:pPr>
        <w:pStyle w:val="Normal"/>
        <w:autoSpaceDE w:val="false"/>
        <w:spacing w:lineRule="atLeast" w:line="240"/>
        <w:ind w:start="1440" w:end="0"/>
        <w:jc w:val="both"/>
        <w:rPr>
          <w:color w:val="000000"/>
          <w:szCs w:val="20"/>
          <w:u w:val="single"/>
        </w:rPr>
      </w:pPr>
      <w:r>
        <w:rPr>
          <w:color w:val="000000"/>
          <w:szCs w:val="20"/>
          <w:u w:val="single"/>
        </w:rPr>
      </w:r>
    </w:p>
    <w:p>
      <w:pPr>
        <w:pStyle w:val="Normal"/>
        <w:autoSpaceDE w:val="false"/>
        <w:spacing w:lineRule="atLeast" w:line="240"/>
        <w:ind w:start="1440" w:end="0"/>
        <w:jc w:val="both"/>
        <w:rPr>
          <w:color w:val="000000"/>
          <w:szCs w:val="20"/>
          <w:u w:val="single"/>
        </w:rPr>
      </w:pPr>
      <w:r>
        <w:rPr>
          <w:color w:val="000000"/>
          <w:szCs w:val="20"/>
          <w:u w:val="single"/>
        </w:rPr>
        <w:t>Case 1</w:t>
      </w:r>
    </w:p>
    <w:p>
      <w:pPr>
        <w:pStyle w:val="Normal"/>
        <w:autoSpaceDE w:val="false"/>
        <w:spacing w:lineRule="atLeast" w:line="240"/>
        <w:ind w:start="1440" w:end="0"/>
        <w:jc w:val="both"/>
        <w:rPr>
          <w:color w:val="000000"/>
          <w:szCs w:val="20"/>
        </w:rPr>
      </w:pPr>
      <w:r>
        <w:rPr>
          <w:color w:val="000000"/>
          <w:szCs w:val="20"/>
        </w:rPr>
        <w:t>HPL Core term index position    100,000/d long  (50,000/d Waha, 50,000/d Texoma)</w:t>
      </w:r>
    </w:p>
    <w:p>
      <w:pPr>
        <w:pStyle w:val="Normal"/>
        <w:autoSpaceDE w:val="false"/>
        <w:spacing w:lineRule="atLeast" w:line="240"/>
        <w:ind w:start="1440" w:end="0"/>
        <w:jc w:val="both"/>
        <w:rPr/>
      </w:pPr>
      <w:r>
        <w:rPr>
          <w:color w:val="000000"/>
          <w:szCs w:val="20"/>
        </w:rPr>
        <w:t xml:space="preserve"> </w:t>
      </w:r>
      <w:r>
        <w:rPr>
          <w:color w:val="000000"/>
          <w:szCs w:val="20"/>
        </w:rPr>
        <w:t xml:space="preserve">HPL Thirty-day index physical position   </w:t>
      </w:r>
      <w:r>
        <w:rPr>
          <w:color w:val="000000"/>
          <w:szCs w:val="20"/>
          <w:u w:val="single"/>
        </w:rPr>
        <w:t xml:space="preserve"> 200,000/d </w:t>
      </w:r>
      <w:r>
        <w:rPr>
          <w:color w:val="000000"/>
          <w:szCs w:val="20"/>
        </w:rPr>
        <w:t>long  (volumes at Thompsonville and Katy)</w:t>
      </w:r>
    </w:p>
    <w:p>
      <w:pPr>
        <w:pStyle w:val="Normal"/>
        <w:autoSpaceDE w:val="false"/>
        <w:spacing w:lineRule="atLeast" w:line="240"/>
        <w:ind w:start="1440" w:end="0"/>
        <w:jc w:val="both"/>
        <w:rPr>
          <w:color w:val="000000"/>
          <w:szCs w:val="20"/>
        </w:rPr>
      </w:pPr>
      <w:r>
        <w:rPr>
          <w:color w:val="000000"/>
          <w:szCs w:val="20"/>
        </w:rPr>
        <w:t>Total Index Position           300,000/d long</w:t>
      </w:r>
    </w:p>
    <w:p>
      <w:pPr>
        <w:pStyle w:val="Normal"/>
        <w:autoSpaceDE w:val="false"/>
        <w:spacing w:lineRule="atLeast" w:line="240"/>
        <w:ind w:start="1440" w:end="0"/>
        <w:jc w:val="both"/>
        <w:rPr>
          <w:color w:val="000000"/>
          <w:szCs w:val="20"/>
        </w:rPr>
      </w:pPr>
      <w:r>
        <w:rPr>
          <w:color w:val="000000"/>
          <w:szCs w:val="20"/>
        </w:rPr>
      </w:r>
    </w:p>
    <w:p>
      <w:pPr>
        <w:pStyle w:val="Normal"/>
        <w:autoSpaceDE w:val="false"/>
        <w:spacing w:lineRule="atLeast" w:line="240"/>
        <w:ind w:start="1440" w:end="0"/>
        <w:jc w:val="both"/>
        <w:rPr>
          <w:color w:val="000000"/>
          <w:szCs w:val="20"/>
        </w:rPr>
      </w:pPr>
      <w:r>
        <w:rPr>
          <w:color w:val="000000"/>
          <w:szCs w:val="20"/>
        </w:rPr>
        <w:t>Vols. targeted  by HPL for injection  into Bammel storage for June are  200,000/d</w:t>
      </w:r>
    </w:p>
    <w:p>
      <w:pPr>
        <w:pStyle w:val="Normal"/>
        <w:autoSpaceDE w:val="false"/>
        <w:spacing w:lineRule="atLeast" w:line="240"/>
        <w:ind w:start="1440" w:end="0"/>
        <w:jc w:val="both"/>
        <w:rPr>
          <w:color w:val="000000"/>
          <w:szCs w:val="20"/>
        </w:rPr>
      </w:pPr>
      <w:r>
        <w:rPr>
          <w:color w:val="000000"/>
          <w:szCs w:val="20"/>
        </w:rPr>
      </w:r>
    </w:p>
    <w:p>
      <w:pPr>
        <w:pStyle w:val="BodyTextIndent"/>
        <w:jc w:val="both"/>
        <w:rPr/>
      </w:pPr>
      <w:r>
        <w:rPr/>
        <w:t>Enron sells AEP 200,000/d in Bammel storage at June IFGMR HSC FOM index plus actual electric compression costs associated with such volumes so targeted by HPL assuming such 200,000 /d were actually injected during June.  Enron sells AEP 50,000/d gas daily swap at IFGMR Waha FOM index to cover core term Waha physical  position and 50,000/d gas daily swap at IFGMR HSC FOM index to cover core term Texoma physical position.</w:t>
      </w:r>
    </w:p>
    <w:p>
      <w:pPr>
        <w:pStyle w:val="Normal"/>
        <w:autoSpaceDE w:val="false"/>
        <w:spacing w:lineRule="atLeast" w:line="240"/>
        <w:ind w:start="1440" w:end="0"/>
        <w:jc w:val="both"/>
        <w:rPr>
          <w:color w:val="000000"/>
          <w:szCs w:val="20"/>
        </w:rPr>
      </w:pPr>
      <w:r>
        <w:rPr>
          <w:color w:val="000000"/>
          <w:szCs w:val="20"/>
        </w:rPr>
      </w:r>
    </w:p>
    <w:p>
      <w:pPr>
        <w:pStyle w:val="Normal"/>
        <w:autoSpaceDE w:val="false"/>
        <w:spacing w:lineRule="atLeast" w:line="240"/>
        <w:ind w:start="1440" w:end="0"/>
        <w:jc w:val="both"/>
        <w:rPr>
          <w:color w:val="000000"/>
          <w:szCs w:val="20"/>
          <w:u w:val="single"/>
        </w:rPr>
      </w:pPr>
      <w:r>
        <w:rPr>
          <w:color w:val="000000"/>
          <w:szCs w:val="20"/>
          <w:u w:val="single"/>
        </w:rPr>
        <w:t>Case 2</w:t>
      </w:r>
    </w:p>
    <w:p>
      <w:pPr>
        <w:pStyle w:val="Normal"/>
        <w:autoSpaceDE w:val="false"/>
        <w:spacing w:lineRule="atLeast" w:line="240"/>
        <w:ind w:start="1440" w:end="0"/>
        <w:jc w:val="both"/>
        <w:rPr>
          <w:color w:val="000000"/>
          <w:szCs w:val="20"/>
        </w:rPr>
      </w:pPr>
      <w:r>
        <w:rPr>
          <w:color w:val="000000"/>
          <w:szCs w:val="20"/>
        </w:rPr>
        <w:t>HPL Core term index physical position     200,000 short (50,000/d Waha, 150,000/d HSC)</w:t>
      </w:r>
    </w:p>
    <w:p>
      <w:pPr>
        <w:pStyle w:val="Normal"/>
        <w:autoSpaceDE w:val="false"/>
        <w:spacing w:lineRule="atLeast" w:line="240"/>
        <w:ind w:start="1440" w:end="0"/>
        <w:jc w:val="both"/>
        <w:rPr/>
      </w:pPr>
      <w:r>
        <w:rPr>
          <w:color w:val="000000"/>
          <w:szCs w:val="20"/>
        </w:rPr>
        <w:t xml:space="preserve">HPL Thirty day index physical position     </w:t>
      </w:r>
      <w:r>
        <w:rPr>
          <w:color w:val="000000"/>
          <w:szCs w:val="20"/>
          <w:u w:val="single"/>
        </w:rPr>
        <w:t xml:space="preserve">400,000 </w:t>
      </w:r>
      <w:r>
        <w:rPr>
          <w:color w:val="000000"/>
          <w:szCs w:val="20"/>
        </w:rPr>
        <w:t>long   (50,000/d Waha, 100,000/d Agua Dulce, 100,000/d Thompsonville, 150,000/d Katy)</w:t>
      </w:r>
    </w:p>
    <w:p>
      <w:pPr>
        <w:pStyle w:val="Normal"/>
        <w:autoSpaceDE w:val="false"/>
        <w:spacing w:lineRule="atLeast" w:line="240"/>
        <w:ind w:start="1440" w:end="0"/>
        <w:jc w:val="both"/>
        <w:rPr>
          <w:color w:val="000000"/>
          <w:szCs w:val="20"/>
        </w:rPr>
      </w:pPr>
      <w:r>
        <w:rPr>
          <w:color w:val="000000"/>
          <w:szCs w:val="20"/>
        </w:rPr>
        <w:t>Total Index Position            200,000 long</w:t>
      </w:r>
    </w:p>
    <w:p>
      <w:pPr>
        <w:pStyle w:val="Normal"/>
        <w:autoSpaceDE w:val="false"/>
        <w:spacing w:lineRule="atLeast" w:line="240"/>
        <w:ind w:start="1440" w:end="0"/>
        <w:jc w:val="both"/>
        <w:rPr>
          <w:color w:val="000000"/>
          <w:szCs w:val="20"/>
        </w:rPr>
      </w:pPr>
      <w:r>
        <w:rPr>
          <w:color w:val="000000"/>
          <w:szCs w:val="20"/>
        </w:rPr>
      </w:r>
    </w:p>
    <w:p>
      <w:pPr>
        <w:pStyle w:val="Normal"/>
        <w:autoSpaceDE w:val="false"/>
        <w:spacing w:lineRule="atLeast" w:line="240"/>
        <w:ind w:start="1440" w:end="0"/>
        <w:jc w:val="both"/>
        <w:rPr>
          <w:color w:val="000000"/>
          <w:szCs w:val="20"/>
        </w:rPr>
      </w:pPr>
      <w:r>
        <w:rPr>
          <w:color w:val="000000"/>
          <w:szCs w:val="20"/>
        </w:rPr>
        <w:t>Vols. targeted by HPL for injection into Bammel storage for June are  200,000/d</w:t>
      </w:r>
    </w:p>
    <w:p>
      <w:pPr>
        <w:pStyle w:val="Normal"/>
        <w:autoSpaceDE w:val="false"/>
        <w:spacing w:lineRule="atLeast" w:line="240"/>
        <w:ind w:start="1440" w:end="0"/>
        <w:jc w:val="both"/>
        <w:rPr>
          <w:color w:val="000000"/>
          <w:szCs w:val="20"/>
        </w:rPr>
      </w:pPr>
      <w:r>
        <w:rPr>
          <w:color w:val="000000"/>
          <w:szCs w:val="20"/>
        </w:rPr>
      </w:r>
    </w:p>
    <w:p>
      <w:pPr>
        <w:pStyle w:val="Normal"/>
        <w:ind w:start="1440" w:end="0"/>
        <w:jc w:val="both"/>
        <w:rPr>
          <w:color w:val="000000"/>
          <w:szCs w:val="20"/>
        </w:rPr>
      </w:pPr>
      <w:r>
        <w:rPr>
          <w:color w:val="000000"/>
          <w:szCs w:val="20"/>
        </w:rPr>
        <w:t xml:space="preserve">Enron sells AEP 200,000/d in Bammel storage at June IFGMR HSC FOM index plus actual electric compression costs associated with such volumes so targeted by HPL assuming such 200,000 /d were actually injected during June. </w:t>
      </w:r>
    </w:p>
    <w:p>
      <w:pPr>
        <w:pStyle w:val="Normal"/>
        <w:jc w:val="both"/>
        <w:rPr/>
      </w:pPr>
      <w:r>
        <w:rPr/>
      </w:r>
    </w:p>
    <w:p>
      <w:pPr>
        <w:pStyle w:val="Normal"/>
        <w:numPr>
          <w:ilvl w:val="0"/>
          <w:numId w:val="1"/>
        </w:numPr>
        <w:jc w:val="both"/>
        <w:rPr/>
      </w:pPr>
      <w:r>
        <w:rPr/>
        <w:t>If for any reason Close does not occur on or before September 1, 2001, AEP shall withdraw the volumes injected in June, 2001 on a prorata basis commencing     September 1, 2001 and finishing October 31, 2001.  AEP shall be responsible for obtaining, at its cost, transportation on HPL, at a price to be negotiated based on location and availability of capacity.</w:t>
      </w:r>
    </w:p>
    <w:p>
      <w:pPr>
        <w:pStyle w:val="Normal"/>
        <w:jc w:val="both"/>
        <w:rPr/>
      </w:pPr>
      <w:r>
        <w:rPr/>
      </w:r>
    </w:p>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alligrapher">
    <w:charset w:val="00" w:characterSet="windows-125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1</w:t>
      </w:r>
      <w:r>
        <w:rPr/>
        <w:t xml:space="preserve"> </w:t>
      </w:r>
      <w:r>
        <w:rPr/>
        <w:t>All referenced to HPL positions herein shall include those ENA positions, which are scheduled to be transferred to Lodisco, LLC.</w:t>
      </w:r>
    </w:p>
  </w:footnote>
  <w:footnote w:id="3">
    <w:p>
      <w:pPr>
        <w:pStyle w:val="FootnoteText"/>
        <w:rPr/>
      </w:pPr>
      <w:r>
        <w:rPr>
          <w:rStyle w:val="FootnoteCharacters"/>
        </w:rPr>
        <w:t>2</w:t>
      </w:r>
      <w:r>
        <w:rPr/>
        <w:t xml:space="preserve"> </w:t>
      </w:r>
      <w:r>
        <w:rPr/>
        <w:t>It is understood and agreed that HPL has Third Parties who have existing rights to inject, withdraw and store gas at the Bammel Facility which will reduce the proprietary capability to inject less than 400,000/day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decimal"/>
      <w:lvlText w:val="%3."/>
      <w:lvlJc w:val="start"/>
      <w:pPr>
        <w:tabs>
          <w:tab w:val="num" w:pos="2340"/>
        </w:tabs>
        <w:ind w:start="2340" w:hanging="36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1">
    <w:name w:val="WW8Num1z1"/>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Calligrapher" w:hAnsi="Calligrapher" w:cs="Arial"/>
      <w:color w:val="339966"/>
      <w:sz w:val="32"/>
    </w:rPr>
  </w:style>
  <w:style w:type="paragraph" w:styleId="EnvelopeReturn">
    <w:name w:val="envelope return"/>
    <w:basedOn w:val="Normal"/>
    <w:pPr/>
    <w:rPr>
      <w:rFonts w:ascii="Calligrapher" w:hAnsi="Calligrapher" w:cs="Arial"/>
      <w:color w:val="339966"/>
      <w:sz w:val="20"/>
      <w:szCs w:val="20"/>
    </w:rPr>
  </w:style>
  <w:style w:type="paragraph" w:styleId="BodyTextIndent">
    <w:name w:val="Body Text Indent"/>
    <w:basedOn w:val="Normal"/>
    <w:pPr>
      <w:autoSpaceDE w:val="false"/>
      <w:spacing w:lineRule="atLeast" w:line="240"/>
      <w:ind w:hanging="0" w:start="1440" w:end="0"/>
    </w:pPr>
    <w:rPr>
      <w:color w:val="000000"/>
      <w:szCs w:val="20"/>
    </w:rPr>
  </w:style>
  <w:style w:type="paragraph" w:styleId="FootnoteText">
    <w:name w:val="footnote text"/>
    <w:basedOn w:val="Normal"/>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2001-05-22T18:16:00Z</dcterms:created>
  <dc:creator>Gary M. Prescott</dc:creator>
  <dc:description/>
  <dc:language>en-CA</dc:language>
  <cp:lastModifiedBy>Keegan Farrell</cp:lastModifiedBy>
  <cp:lastPrinted>2001-05-22T17:22:00Z</cp:lastPrinted>
  <dcterms:modified xsi:type="dcterms:W3CDTF">2001-05-22T20:30:00Z</dcterms:modified>
  <cp:revision>5</cp:revision>
  <dc:subject/>
  <dc:title>Pre-Close Observation Procedures</dc:title>
</cp:coreProperties>
</file>