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cs="Century Gothic"/>
          <w:sz w:val="16"/>
        </w:rPr>
      </w:pPr>
      <w:r>
        <w:rPr>
          <w:rFonts w:cs="Century Gothic" w:ascii="Century Gothic" w:hAnsi="Century Gothic"/>
          <w:sz w:val="16"/>
        </w:rPr>
        <w:t>NP15 vs. COB N/S</w:t>
      </w:r>
    </w:p>
    <w:p>
      <w:pPr>
        <w:pStyle w:val="Normal"/>
        <w:rPr>
          <w:rFonts w:ascii="Century Gothic" w:hAnsi="Century Gothic" w:cs="Century Gothic"/>
          <w:sz w:val="16"/>
        </w:rPr>
      </w:pPr>
      <w:r>
        <w:rPr>
          <w:rFonts w:cs="Century Gothic" w:ascii="Century Gothic" w:hAnsi="Century Gothic"/>
          <w:sz w:val="16"/>
        </w:rPr>
      </w:r>
    </w:p>
    <w:p>
      <w:pPr>
        <w:pStyle w:val="Normal"/>
        <w:rPr>
          <w:rFonts w:ascii="Century Gothic" w:hAnsi="Century Gothic" w:cs="Century Gothic"/>
          <w:sz w:val="16"/>
        </w:rPr>
      </w:pPr>
      <w:r>
        <w:rPr>
          <w:rFonts w:cs="Century Gothic" w:ascii="Century Gothic" w:hAnsi="Century Gothic"/>
          <w:sz w:val="16"/>
        </w:rPr>
        <w:t>A US Power Spread Transaction (as defined below) with Enron Power Marketing, Inc. under which the Seller (the "Spread Seller") and the Buyer (the "Spread Buyer") shall enter into two physical power transactions, under which either (A) for the case in which Counterparty submits an offer to buy from Enron, Counterparty shall buy the First Product and sell the Second Product, each in respect of the quantity of Firm energy equal to the Hourly Quantity at the Contract Price; or (B) for the case in which Counterparty submits an offer to sell to Enron, Counterparty shall sell the First Product and buy the Second Product, each in respect of the quantity of Firm energy equal to the Hourly Quantity at the Contract Price</w:t>
      </w:r>
    </w:p>
    <w:p>
      <w:pPr>
        <w:pStyle w:val="Normal"/>
        <w:rPr>
          <w:rFonts w:ascii="Century Gothic" w:hAnsi="Century Gothic" w:cs="Century Gothic"/>
          <w:sz w:val="16"/>
        </w:rPr>
      </w:pPr>
      <w:r>
        <w:rPr>
          <w:rFonts w:cs="Century Gothic" w:ascii="Century Gothic" w:hAnsi="Century Gothic"/>
          <w:sz w:val="16"/>
        </w:rPr>
        <w:t>The term of the Transaction shall correspond to the date(s) set forth in the Product description on the Website.</w:t>
      </w:r>
    </w:p>
    <w:p>
      <w:pPr>
        <w:pStyle w:val="BodyText"/>
        <w:rPr>
          <w:sz w:val="16"/>
        </w:rPr>
      </w:pPr>
      <w:r>
        <w:rPr>
          <w:sz w:val="16"/>
        </w:rPr>
        <w:t>The Contract Price for the Second Transaction in this short description will be the midpoint of the bid and offer price(s) on the Website for the second product listed in the short description at the time of the Transaction if both the bid and offer prices are then available or the available price if only one of such prices is then available. The Contract Price for the First Transaction will be the Contract Price used for the Second Transaction, modified by the price submitted by the Counterparty on the Website.</w:t>
      </w:r>
    </w:p>
    <w:p>
      <w:pPr>
        <w:pStyle w:val="Normal"/>
        <w:rPr>
          <w:rFonts w:ascii="Century Gothic" w:hAnsi="Century Gothic" w:cs="Century Gothic"/>
          <w:sz w:val="16"/>
        </w:rPr>
      </w:pPr>
      <w:r>
        <w:rPr>
          <w:rFonts w:cs="Century Gothic" w:ascii="Century Gothic" w:hAnsi="Century Gothic"/>
          <w:sz w:val="16"/>
        </w:rPr>
        <w:t>The Spread Transaction shall mean the NP15 Transaction together with the COB Transaction.  The Spread Seller and the Spread Buyer agree that the NP15 Transaction and the COB Transaction shall be treated as separate transactions under any applicable agreement(s) governing such transactions.  Accordingly, for example, if a party fails to perform under the NP15 Transaction, the other party is not excused from performance under the COB Transaction based on such non-performance.  However, unless otherwise expressly defined, the term "transaction" as used on the Website shall mean each of the NP15 Transaction and the COB Transaction.</w:t>
      </w:r>
    </w:p>
    <w:p>
      <w:pPr>
        <w:pStyle w:val="Normal"/>
        <w:rPr>
          <w:rFonts w:ascii="Century Gothic" w:hAnsi="Century Gothic" w:cs="Century Gothic"/>
          <w:sz w:val="16"/>
        </w:rPr>
      </w:pPr>
      <w:r>
        <w:rPr>
          <w:rFonts w:cs="Century Gothic" w:ascii="Century Gothic" w:hAnsi="Century Gothic"/>
          <w:sz w:val="16"/>
        </w:rPr>
        <w:t xml:space="preserve">The Spread Seller shall sell and deliver and the Spread Buyer shall purchase and receive a quantity of Firm energy equal to the Hourly Quantity without Ancillary Services (as defined in the Tariff) that is or will be scheduled as a schedule coordinator to schedule coordinator </w:t>
      </w:r>
      <w:del w:id="0" w:author="kmeredi" w:date="2001-05-21T14:52:00Z">
        <w:r>
          <w:rPr>
            <w:rFonts w:cs="Century Gothic" w:ascii="Century Gothic" w:hAnsi="Century Gothic"/>
            <w:sz w:val="16"/>
          </w:rPr>
          <w:delText xml:space="preserve">transaction </w:delText>
        </w:r>
      </w:del>
      <w:ins w:id="1" w:author="kmeredi" w:date="2001-05-21T14:52:00Z">
        <w:r>
          <w:rPr>
            <w:rFonts w:cs="Century Gothic" w:ascii="Century Gothic" w:hAnsi="Century Gothic"/>
            <w:sz w:val="16"/>
          </w:rPr>
          <w:t xml:space="preserve">transfer in the California ISO Congestion Zone North Path 15 (“NP15”)  </w:t>
        </w:r>
      </w:ins>
      <w:r>
        <w:rPr>
          <w:rFonts w:cs="Century Gothic" w:ascii="Century Gothic" w:hAnsi="Century Gothic"/>
          <w:sz w:val="16"/>
        </w:rPr>
        <w:t xml:space="preserve">pursuant to the applicable tariff and protocol provisions of the California Independent System Operator ("CAISO")(as amended from time to time the “Tariff”) for which the only excuse for failure to deliver or receive is an “Uncontrollable Force” (as defined in the Tariff).  </w:t>
      </w:r>
      <w:ins w:id="2" w:author="kmeredi" w:date="2001-05-21T14:51:00Z">
        <w:r>
          <w:rPr>
            <w:rFonts w:cs="Century Gothic" w:ascii="Century Gothic" w:hAnsi="Century Gothic"/>
            <w:sz w:val="16"/>
          </w:rPr>
          <w:t>NP15 as currently defined, until such time that the definition of NP15 changes or the zone ceases to exist, when the Delivery Point shall be that zone, or any physical location or bus, that reasonably resembles, in terms of liquidity and homogeneity and physical location, PGE3, and specifically excluding the proposed "North Bay and Greater Bay Area Zones" as identified in Figure 1 on page 10 of Appendix H (located at http://www.caiso.com/docs/09003a6080/06/ec/09003a608006ec61.pdf) to the document entitled "Congestion Management Reform Recommendations" (Draft Proposal) dated July 28, 2000 issued by the CAISO on its official website: http://www.caiso.com.</w:t>
        </w:r>
      </w:ins>
      <w:del w:id="3" w:author="kmeredi" w:date="2001-05-21T14:51:00Z">
        <w:r>
          <w:rPr>
            <w:rFonts w:cs="Century Gothic" w:ascii="Century Gothic" w:hAnsi="Century Gothic"/>
            <w:sz w:val="16"/>
          </w:rPr>
          <w:delText xml:space="preserve">not caused by the party claiming to be excused from performance (the "NP15 Transaction").  With respect to remedies, the purchase and sale of such CAISO energy shall be deemed to be (i) Firm Power under the WSPP Agreement in the event such Agreement governs this NP15 Transaction or (ii) a firm transaction under such other agreement between the Spread Seller and the Spread Buyer that governs this NP15 Transaction </w:delText>
        </w:r>
      </w:del>
    </w:p>
    <w:p>
      <w:pPr>
        <w:pStyle w:val="Normal"/>
        <w:rPr>
          <w:rFonts w:ascii="Century Gothic" w:hAnsi="Century Gothic" w:cs="Century Gothic"/>
          <w:sz w:val="16"/>
        </w:rPr>
      </w:pPr>
      <w:r>
        <w:rPr>
          <w:rFonts w:cs="Century Gothic" w:ascii="Century Gothic" w:hAnsi="Century Gothic"/>
          <w:sz w:val="16"/>
        </w:rPr>
        <w:t>The Spread Buyer shall sell and deliver and the Spread Seller shall purchase and receive a quantity of Firm energy at the California-Oregon Border in the North to South direction equal to the Hourly Quantity at the COB Contract Price (the "COB Transaction).  "Firm energy " is power that is or will be scheduled as firm energy consistent with the most recent rules adopted by the Western Systems Coordinating Council for which the only excuses for failure to deliver or receive are if an interruption is (i) (a) due to an Uncontrollable Force as provided in Section 10 of the WSPP Agreement if the WSPP Agreement governs this transaction or (b) due to an event of force majeure as such term is defined under such other agreement between the Transaction Seller and the Transaction Buyer that governs this transaction (the "Agreement"); or (ii) where applicable, to meet the Transaction Seller's public utility or statutory obligations to its customers.  Notwithstanding any other provision in the WSPP Agreement or the Agreement, if applicable, if the Transaction Seller exercises its right to interrupt to meet its public utility or statutory obligations, the Transaction Seller shall be responsible for payment of damages for failure to deliver firm energy as provided in Section 21.3 of the WSPP Agreement, if applicable, or as provided in the applicable cover remedy section(s) of the Agreement.  "WSPP Agreement" means the Western System Power Pool Agreement as amended from time to time.</w:t>
      </w:r>
    </w:p>
    <w:p>
      <w:pPr>
        <w:pStyle w:val="Normal"/>
        <w:rPr>
          <w:rFonts w:ascii="Century Gothic" w:hAnsi="Century Gothic" w:cs="Century Gothic"/>
          <w:sz w:val="16"/>
        </w:rPr>
      </w:pPr>
      <w:r>
        <w:rPr>
          <w:rFonts w:cs="Century Gothic" w:ascii="Century Gothic" w:hAnsi="Century Gothic"/>
          <w:sz w:val="16"/>
        </w:rPr>
        <w:t>The price is quoted in US Dollars per unit of volume, which will be the Contractual Currency.</w:t>
      </w:r>
    </w:p>
    <w:p>
      <w:pPr>
        <w:pStyle w:val="Normal"/>
        <w:rPr>
          <w:rFonts w:ascii="Century Gothic" w:hAnsi="Century Gothic" w:cs="Century Gothic"/>
          <w:sz w:val="16"/>
        </w:rPr>
      </w:pPr>
      <w:r>
        <w:rPr>
          <w:rFonts w:cs="Century Gothic" w:ascii="Century Gothic" w:hAnsi="Century Gothic"/>
          <w:sz w:val="16"/>
        </w:rPr>
        <w:t>The unit of measure against which the price is quoted shall be megawatt-hours (MWh) and the quantity shown shall be in MW's delivered in each applicable hour for the duration of the Transaction (“Hourly Quantity”).</w:t>
      </w:r>
    </w:p>
    <w:p>
      <w:pPr>
        <w:pStyle w:val="Normal"/>
        <w:rPr>
          <w:rFonts w:ascii="Century Gothic" w:hAnsi="Century Gothic" w:cs="Century Gothic"/>
          <w:sz w:val="16"/>
        </w:rPr>
      </w:pPr>
      <w:r>
        <w:rPr>
          <w:rFonts w:cs="Century Gothic" w:ascii="Century Gothic" w:hAnsi="Century Gothic"/>
          <w:sz w:val="16"/>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entury Gothic" w:hAnsi="Century Gothic" w:cs="Century Gothic"/>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2001-05-21T17:23:00Z</dcterms:created>
  <dc:creator>kmeredi</dc:creator>
  <dc:description/>
  <dc:language>en-CA</dc:language>
  <cp:lastModifiedBy>kmeredi</cp:lastModifiedBy>
  <cp:lastPrinted>2001-05-21T10:43:00Z</cp:lastPrinted>
  <dcterms:modified xsi:type="dcterms:W3CDTF">2001-05-21T17:23:00Z</dcterms:modified>
  <cp:revision>2</cp:revision>
  <dc:subject/>
  <dc:title>NP15 vs</dc:title>
</cp:coreProperties>
</file>