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12" w:space="1" w:color="000000"/>
        </w:pBdr>
        <w:rPr>
          <w:color w:val="000000"/>
          <w:sz w:val="20"/>
          <w:lang w:val="en-CA" w:eastAsia="en-CA"/>
        </w:rPr>
      </w:pPr>
      <w:r>
        <w:rPr>
          <w:color w:val="000000"/>
          <w:sz w:val="20"/>
          <w:lang w:val="en-CA" w:eastAsia="en-CA"/>
        </w:rPr>
        <w:drawing>
          <wp:anchor behindDoc="0" distT="0" distB="0" distL="114935" distR="114935" simplePos="0" locked="0" layoutInCell="0" allowOverlap="1" relativeHeight="7">
            <wp:simplePos x="0" y="0"/>
            <wp:positionH relativeFrom="column">
              <wp:posOffset>2798445</wp:posOffset>
            </wp:positionH>
            <wp:positionV relativeFrom="page">
              <wp:posOffset>568960</wp:posOffset>
            </wp:positionV>
            <wp:extent cx="2282190" cy="247650"/>
            <wp:effectExtent l="0" t="0" r="0" b="0"/>
            <wp:wrapTight wrapText="bothSides">
              <wp:wrapPolygon edited="0">
                <wp:start x="-88" y="0"/>
                <wp:lineTo x="-88" y="20749"/>
                <wp:lineTo x="21600" y="20749"/>
                <wp:lineTo x="21600" y="0"/>
                <wp:lineTo x="-88" y="0"/>
              </wp:wrapPolygon>
            </wp:wrapTigh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3" t="-125" r="-13" b="-125"/>
                    <a:stretch>
                      <a:fillRect/>
                    </a:stretch>
                  </pic:blipFill>
                  <pic:spPr bwMode="auto">
                    <a:xfrm>
                      <a:off x="0" y="0"/>
                      <a:ext cx="2282190" cy="247650"/>
                    </a:xfrm>
                    <a:prstGeom prst="rect">
                      <a:avLst/>
                    </a:prstGeom>
                    <a:noFill/>
                  </pic:spPr>
                </pic:pic>
              </a:graphicData>
            </a:graphic>
          </wp:anchor>
        </w:drawing>
      </w:r>
    </w:p>
    <w:p>
      <w:pPr>
        <w:pStyle w:val="Normal"/>
        <w:pBdr>
          <w:bottom w:val="single" w:sz="12" w:space="1" w:color="000000"/>
        </w:pBdr>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Subtitle"/>
        <w:rPr/>
      </w:pPr>
      <w:r>
        <w:rPr/>
        <w:t>Enron Australia Energy Investments LLC</w:t>
        <w:br/>
      </w:r>
      <w:r>
        <w:rPr>
          <w:rFonts w:cs="Times New Roman" w:ascii="Times New Roman" w:hAnsi="Times New Roman"/>
          <w:b w:val="false"/>
          <w:sz w:val="22"/>
        </w:rPr>
        <w:t>(</w:t>
      </w:r>
      <w:r>
        <w:rPr>
          <w:rFonts w:cs="Times New Roman" w:ascii="Times New Roman" w:hAnsi="Times New Roman"/>
          <w:bCs/>
          <w:sz w:val="22"/>
        </w:rPr>
        <w:t>"Donor"</w:t>
      </w:r>
      <w:r>
        <w:rPr>
          <w:rFonts w:cs="Times New Roman" w:ascii="Times New Roman" w:hAnsi="Times New Roman"/>
          <w:b w:val="false"/>
          <w:sz w:val="22"/>
        </w:rPr>
        <w:t>)</w:t>
      </w:r>
    </w:p>
    <w:p>
      <w:pPr>
        <w:pStyle w:val="Normal"/>
        <w:rPr>
          <w:color w:val="000000"/>
        </w:rPr>
      </w:pPr>
      <w:r>
        <w:rPr>
          <w:color w:val="000000"/>
        </w:rPr>
      </w:r>
    </w:p>
    <w:p>
      <w:pPr>
        <w:pStyle w:val="Normal"/>
        <w:rPr>
          <w:rFonts w:ascii="Arial" w:hAnsi="Arial" w:cs="Arial"/>
          <w:b/>
        </w:rPr>
      </w:pPr>
      <w:r>
        <w:rPr>
          <w:rFonts w:cs="Arial" w:ascii="Arial" w:hAnsi="Arial"/>
          <w:b/>
        </w:rPr>
        <w:t>Paul Michael Quilkey</w:t>
      </w:r>
    </w:p>
    <w:p>
      <w:pPr>
        <w:pStyle w:val="Subtitle"/>
        <w:rPr/>
      </w:pPr>
      <w:r>
        <w:rPr>
          <w:rFonts w:cs="Times New Roman" w:ascii="Times New Roman" w:hAnsi="Times New Roman"/>
          <w:b w:val="false"/>
          <w:sz w:val="22"/>
        </w:rPr>
        <w:t>(</w:t>
      </w:r>
      <w:r>
        <w:rPr>
          <w:rFonts w:cs="Times New Roman" w:ascii="Times New Roman" w:hAnsi="Times New Roman"/>
          <w:bCs/>
          <w:sz w:val="22"/>
        </w:rPr>
        <w:t>"Attorney"</w:t>
      </w:r>
      <w:r>
        <w:rPr>
          <w:rFonts w:cs="Times New Roman" w:ascii="Times New Roman" w:hAnsi="Times New Roman"/>
          <w:b w:val="false"/>
          <w:sz w:val="22"/>
        </w:rPr>
        <w:t>)</w:t>
      </w:r>
    </w:p>
    <w:p>
      <w:pPr>
        <w:pStyle w:val="Normal"/>
        <w:rPr>
          <w:color w:val="000000"/>
        </w:rPr>
      </w:pPr>
      <w:r>
        <w:rPr>
          <w:color w:val="000000"/>
        </w:rPr>
      </w:r>
    </w:p>
    <w:p>
      <w:pPr>
        <w:pStyle w:val="Normal"/>
        <w:rPr>
          <w:color w:val="000000"/>
        </w:rPr>
      </w:pPr>
      <w:r>
        <w:rPr>
          <w:color w:val="000000"/>
        </w:rPr>
      </w:r>
    </w:p>
    <w:p>
      <w:pPr>
        <w:pStyle w:val="Heading"/>
        <w:rPr>
          <w:color w:val="000000"/>
        </w:rPr>
      </w:pPr>
      <w:r>
        <w:rPr>
          <w:color w:val="000000"/>
        </w:rPr>
        <w:t>Limited Power of Attorney</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tbl>
      <w:tblPr>
        <w:tblW w:w="8324" w:type="dxa"/>
        <w:jc w:val="center"/>
        <w:tblInd w:w="0" w:type="dxa"/>
        <w:tblLayout w:type="fixed"/>
        <w:tblCellMar>
          <w:top w:w="0" w:type="dxa"/>
          <w:start w:w="108" w:type="dxa"/>
          <w:bottom w:w="0" w:type="dxa"/>
          <w:end w:w="108" w:type="dxa"/>
        </w:tblCellMar>
      </w:tblPr>
      <w:tblGrid>
        <w:gridCol w:w="8324"/>
      </w:tblGrid>
      <w:tr>
        <w:trPr/>
        <w:tc>
          <w:tcPr>
            <w:tcW w:w="8324" w:type="dxa"/>
            <w:tcBorders/>
          </w:tcPr>
          <w:p>
            <w:pPr>
              <w:pStyle w:val="CUAddress"/>
              <w:jc w:val="center"/>
              <w:rPr>
                <w:color w:val="000000"/>
              </w:rPr>
            </w:pPr>
            <w:r>
              <w:rPr>
                <w:color w:val="000000"/>
              </w:rPr>
              <w:drawing>
                <wp:inline distT="0" distB="0" distL="0" distR="0">
                  <wp:extent cx="1143000" cy="115570"/>
                  <wp:effectExtent l="0" t="0" r="0" b="0"/>
                  <wp:docPr id="2" nam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escr="" title=""/>
                          <pic:cNvPicPr>
                            <a:picLocks noChangeAspect="1" noChangeArrowheads="1"/>
                          </pic:cNvPicPr>
                        </pic:nvPicPr>
                        <pic:blipFill>
                          <a:blip r:embed="rId3"/>
                          <a:srcRect l="-17" t="-162" r="-17" b="-162"/>
                          <a:stretch>
                            <a:fillRect/>
                          </a:stretch>
                        </pic:blipFill>
                        <pic:spPr bwMode="auto">
                          <a:xfrm>
                            <a:off x="0" y="0"/>
                            <a:ext cx="1143000" cy="115570"/>
                          </a:xfrm>
                          <a:prstGeom prst="rect">
                            <a:avLst/>
                          </a:prstGeom>
                          <a:noFill/>
                        </pic:spPr>
                      </pic:pic>
                    </a:graphicData>
                  </a:graphic>
                </wp:inline>
              </w:drawing>
            </w:r>
          </w:p>
          <w:p>
            <w:pPr>
              <w:pStyle w:val="CUAddress"/>
              <w:jc w:val="center"/>
              <w:rPr>
                <w:b/>
                <w:bCs/>
              </w:rPr>
            </w:pPr>
            <w:r>
              <w:rPr>
                <w:b/>
                <w:bCs/>
                <w:color w:val="000000"/>
              </w:rPr>
              <w:t>Lawyers</w:t>
            </w:r>
          </w:p>
          <w:p>
            <w:pPr>
              <w:pStyle w:val="CUAddress"/>
              <w:jc w:val="center"/>
              <w:rPr/>
            </w:pPr>
            <w:r>
              <w:rPr/>
              <w:t>Levels 23-35  No 1 O'Connell Street Sydney  NSW  2000  Australia</w:t>
            </w:r>
          </w:p>
          <w:p>
            <w:pPr>
              <w:pStyle w:val="CUAddress"/>
              <w:jc w:val="center"/>
              <w:rPr/>
            </w:pPr>
            <w:r>
              <w:rPr/>
              <w:t>PO Box H3 Australia Square Sydney NSW 1215  DX 370 Sydney</w:t>
            </w:r>
          </w:p>
          <w:p>
            <w:pPr>
              <w:pStyle w:val="CUAddress"/>
              <w:jc w:val="center"/>
              <w:rPr/>
            </w:pPr>
            <w:r>
              <w:rPr/>
              <w:t>www.claytonutz.com</w:t>
            </w:r>
          </w:p>
          <w:p>
            <w:pPr>
              <w:pStyle w:val="CUAddress"/>
              <w:jc w:val="center"/>
              <w:rPr/>
            </w:pPr>
            <w:r>
              <w:rPr/>
              <w:t>Tel + 61 2 9353 4000 Fax  + 61 2 9251 7832</w:t>
            </w:r>
          </w:p>
          <w:p>
            <w:pPr>
              <w:pStyle w:val="CUAddress"/>
              <w:jc w:val="center"/>
              <w:rPr/>
            </w:pPr>
            <w:r>
              <w:rPr>
                <w:b/>
                <w:bCs/>
              </w:rPr>
              <w:t xml:space="preserve">Our ref - </w:t>
            </w:r>
            <w:r>
              <w:rPr>
                <w:b/>
                <w:bCs/>
                <w:color w:val="000000"/>
              </w:rPr>
              <w:t xml:space="preserve"> 179/898/0000333  </w:t>
            </w:r>
            <w:r>
              <w:rPr>
                <w:b/>
                <w:bCs/>
              </w:rPr>
              <w:t>Contact Simon D. Truskett</w:t>
            </w:r>
          </w:p>
          <w:p>
            <w:pPr>
              <w:pStyle w:val="CUAddress"/>
              <w:jc w:val="center"/>
              <w:rPr/>
            </w:pPr>
            <w:r>
              <w:rPr/>
            </w:r>
          </w:p>
          <w:p>
            <w:pPr>
              <w:pStyle w:val="CUAddress"/>
              <w:jc w:val="center"/>
              <w:rPr/>
            </w:pPr>
            <w:r>
              <w:rPr/>
            </w:r>
          </w:p>
          <w:p>
            <w:pPr>
              <w:pStyle w:val="CUAddress"/>
              <w:jc w:val="center"/>
              <w:rPr>
                <w:b/>
                <w:bCs/>
              </w:rPr>
            </w:pPr>
            <w:r>
              <w:rPr>
                <w:b/>
                <w:bCs/>
              </w:rPr>
              <w:t>Sydney • Melbourne • Brisbane • Perth • Canberra • Darwin</w:t>
            </w:r>
          </w:p>
          <w:p>
            <w:pPr>
              <w:pStyle w:val="CUAddress"/>
              <w:jc w:val="center"/>
              <w:rPr>
                <w:b/>
                <w:bCs/>
              </w:rPr>
            </w:pPr>
            <w:r>
              <w:rPr>
                <w:b/>
                <w:bCs/>
              </w:rPr>
            </w:r>
          </w:p>
          <w:p>
            <w:pPr>
              <w:pStyle w:val="CUAddress"/>
              <w:jc w:val="center"/>
              <w:rPr>
                <w:sz w:val="16"/>
              </w:rPr>
            </w:pPr>
            <w:r>
              <w:rPr>
                <w:sz w:val="16"/>
              </w:rPr>
              <w:t>Liability limited by the Solicitors' Limitation of Liability Scheme approved under the Professional Standards Act 1994 (NSW)</w:t>
            </w:r>
          </w:p>
        </w:tc>
      </w:tr>
    </w:tbl>
    <w:p>
      <w:pPr>
        <w:sectPr>
          <w:footerReference w:type="default" r:id="rId4"/>
          <w:type w:val="nextPage"/>
          <w:pgSz w:w="11906" w:h="16838"/>
          <w:pgMar w:left="1418" w:right="1134" w:gutter="0" w:header="0" w:top="1134" w:footer="567" w:bottom="1134"/>
          <w:pgNumType w:fmt="decimal"/>
          <w:formProt w:val="false"/>
          <w:textDirection w:val="lrTb"/>
          <w:docGrid w:type="default" w:linePitch="360" w:charSpace="0"/>
        </w:sectPr>
        <w:pStyle w:val="Normal"/>
        <w:rPr>
          <w:color w:val="000000"/>
        </w:rPr>
      </w:pPr>
      <w:r>
        <w:rPr>
          <w:color w:val="000000"/>
        </w:rPr>
      </w:r>
    </w:p>
    <w:p>
      <w:pPr>
        <w:pStyle w:val="Heading9"/>
        <w:ind w:hanging="0" w:start="0"/>
        <w:rPr>
          <w:b w:val="false"/>
          <w:bCs/>
          <w:sz w:val="22"/>
        </w:rPr>
      </w:pPr>
      <w:r>
        <w:rPr/>
        <w:t>Limited Power of Attorney</w:t>
      </w:r>
    </w:p>
    <w:p>
      <w:pPr>
        <w:pStyle w:val="Normal"/>
        <w:rPr>
          <w:b/>
          <w:bCs/>
          <w:sz w:val="22"/>
        </w:rPr>
      </w:pPr>
      <w:r>
        <w:rPr>
          <w:b/>
          <w:bCs/>
          <w:sz w:val="22"/>
        </w:rPr>
      </w:r>
    </w:p>
    <w:p>
      <w:pPr>
        <w:pStyle w:val="Normal"/>
        <w:rPr/>
      </w:pPr>
      <w:r>
        <w:rPr>
          <w:rFonts w:cs="Arial" w:ascii="Arial" w:hAnsi="Arial"/>
          <w:b/>
          <w:bCs/>
        </w:rPr>
        <w:t>This Limited Power of Attorney</w:t>
      </w:r>
      <w:r>
        <w:rPr/>
        <w:t xml:space="preserve"> made on  28   November 2001 by the party named in the First Schedule (the </w:t>
      </w:r>
      <w:r>
        <w:rPr>
          <w:b/>
          <w:bCs/>
        </w:rPr>
        <w:t>"Donor"</w:t>
      </w:r>
      <w:r>
        <w:rPr/>
        <w:t>):</w:t>
      </w:r>
    </w:p>
    <w:p>
      <w:pPr>
        <w:pStyle w:val="Normal"/>
        <w:rPr/>
      </w:pPr>
      <w:r>
        <w:rPr/>
      </w:r>
    </w:p>
    <w:p>
      <w:pPr>
        <w:pStyle w:val="Heading1"/>
        <w:widowControl/>
        <w:numPr>
          <w:ilvl w:val="0"/>
          <w:numId w:val="10"/>
        </w:numPr>
        <w:ind w:hanging="0" w:start="0"/>
        <w:rPr>
          <w:lang w:val="en-US"/>
        </w:rPr>
      </w:pPr>
      <w:r>
        <w:rPr>
          <w:lang w:val="en-US"/>
        </w:rPr>
        <w:t>Appointment</w:t>
      </w:r>
    </w:p>
    <w:p>
      <w:pPr>
        <w:pStyle w:val="IndentParaLevel1"/>
        <w:rPr/>
      </w:pPr>
      <w:r>
        <w:rPr/>
        <w:t>The Donor nominates constitutes and appoints the person specified in the Second Schedule as the attorney of the Donor (the "</w:t>
      </w:r>
      <w:r>
        <w:rPr>
          <w:b/>
          <w:bCs/>
        </w:rPr>
        <w:t>Attorney</w:t>
      </w:r>
      <w:r>
        <w:rPr/>
        <w:t>").</w:t>
      </w:r>
    </w:p>
    <w:p>
      <w:pPr>
        <w:pStyle w:val="Heading1"/>
        <w:widowControl/>
        <w:ind w:hanging="0" w:start="0"/>
        <w:rPr>
          <w:lang w:val="en-US"/>
        </w:rPr>
      </w:pPr>
      <w:r>
        <w:rPr>
          <w:lang w:val="en-US"/>
        </w:rPr>
        <w:t>Powers</w:t>
      </w:r>
    </w:p>
    <w:p>
      <w:pPr>
        <w:pStyle w:val="IndentParaLevel1"/>
        <w:rPr/>
      </w:pPr>
      <w:r>
        <w:rPr/>
        <w:t>The Attorney is empowered to:</w:t>
      </w:r>
    </w:p>
    <w:p>
      <w:pPr>
        <w:pStyle w:val="Heading3"/>
        <w:ind w:hanging="0" w:start="0"/>
        <w:rPr/>
      </w:pPr>
      <w:r>
        <w:rPr/>
        <w:t xml:space="preserve">enter into and to execute under hand or under seal and deliver (which delivery may be conditional or unconditional) each of the documents described in the Third Schedule (the </w:t>
      </w:r>
      <w:r>
        <w:rPr>
          <w:bCs w:val="false"/>
        </w:rPr>
        <w:t>"</w:t>
      </w:r>
      <w:r>
        <w:rPr>
          <w:b/>
        </w:rPr>
        <w:t>Specified Documents</w:t>
      </w:r>
      <w:r>
        <w:rPr>
          <w:bCs w:val="false"/>
        </w:rPr>
        <w:t>"</w:t>
      </w:r>
      <w:r>
        <w:rPr/>
        <w:t>);</w:t>
      </w:r>
    </w:p>
    <w:p>
      <w:pPr>
        <w:pStyle w:val="Heading3"/>
        <w:ind w:hanging="0" w:start="0"/>
        <w:rPr/>
      </w:pPr>
      <w:r>
        <w:rPr/>
        <w:t>complete and fill up all blank spaces in any of the Specified Documents;</w:t>
      </w:r>
    </w:p>
    <w:p>
      <w:pPr>
        <w:pStyle w:val="Heading3"/>
        <w:ind w:hanging="0" w:start="0"/>
        <w:rPr/>
      </w:pPr>
      <w:r>
        <w:rPr/>
        <w:t>make such alterations, deletions, amendments, or additions to the Specified Documents (without affecting the general nature of the transaction contemplated by the Specified Documents) as the Attorney thinks fit (whether or not involving changes to the parties) and to execute under hand or under seal and deliver (which delivery may be conditional or unconditional) any documents which effects or evidences any such alteration, deletion, amendment or addition (without affecting the general nature of the transaction contemplated by the Specified Documents);</w:t>
      </w:r>
    </w:p>
    <w:p>
      <w:pPr>
        <w:pStyle w:val="Heading3"/>
        <w:ind w:hanging="0" w:start="0"/>
        <w:rPr/>
      </w:pPr>
      <w:r>
        <w:rPr/>
        <w:t>do anything (including, but not limited to executing under hand or under seal and delivering, which delivery may be conditional or unconditional, any document), which in the opinion of the Attorney is necessary or incidental in connection with, or in any way relates to, any of the Specified Documents or any document referred to in clause 2(c) or any transaction contemplated by any of the Specified Documents or any document referred to in clause 2(c) as the Attorney thinks fit; and</w:t>
      </w:r>
    </w:p>
    <w:p>
      <w:pPr>
        <w:pStyle w:val="Heading3"/>
        <w:ind w:hanging="0" w:start="0"/>
        <w:rPr/>
      </w:pPr>
      <w:r>
        <w:rPr/>
        <w:t>appoint in writing a person other than a person specified in the Second Schedule as attorney of the Donor (</w:t>
      </w:r>
      <w:r>
        <w:rPr>
          <w:bCs w:val="false"/>
        </w:rPr>
        <w:t>"</w:t>
      </w:r>
      <w:r>
        <w:rPr>
          <w:b/>
        </w:rPr>
        <w:t>Substitute Attorney</w:t>
      </w:r>
      <w:r>
        <w:rPr>
          <w:bCs w:val="false"/>
        </w:rPr>
        <w:t>"</w:t>
      </w:r>
      <w:r>
        <w:rPr/>
        <w:t>) under this Power of Attorney to exercise any or all of the powers conferred upon the Attorney by clauses 2(a) to 2(d) without the Attorney incurring any liability for the acts or omissions of the Substitute Attorney.</w:t>
      </w:r>
    </w:p>
    <w:p>
      <w:pPr>
        <w:pStyle w:val="Heading1"/>
        <w:ind w:hanging="0" w:start="0"/>
        <w:rPr>
          <w:lang w:val="en-US"/>
        </w:rPr>
      </w:pPr>
      <w:r>
        <w:rPr>
          <w:lang w:val="en-US"/>
        </w:rPr>
        <w:t>Agent of Donor</w:t>
      </w:r>
    </w:p>
    <w:p>
      <w:pPr>
        <w:pStyle w:val="IndentParaLevel1"/>
        <w:rPr/>
      </w:pPr>
      <w:r>
        <w:rPr/>
        <w:t>In exercising any of the powers conferred by clause 2, the Attorney and the Substitute Attorney (if any) must act explicitly as the agent of the Donor and the Specified Documents or any document referred to in clause 2(c) must be executed explicitly as the agent of the Donor.</w:t>
      </w:r>
    </w:p>
    <w:p>
      <w:pPr>
        <w:pStyle w:val="Heading1"/>
        <w:widowControl/>
        <w:ind w:hanging="0" w:start="0"/>
        <w:rPr>
          <w:lang w:val="en-US"/>
        </w:rPr>
      </w:pPr>
      <w:r>
        <w:rPr>
          <w:lang w:val="en-US"/>
        </w:rPr>
        <w:t>Multiple Parties</w:t>
      </w:r>
    </w:p>
    <w:p>
      <w:pPr>
        <w:pStyle w:val="IndentParaLevel1"/>
        <w:rPr/>
      </w:pPr>
      <w:r>
        <w:rPr/>
        <w:t>The Attorney may exercise any of the powers referred to in clause 2 notwithstanding that he may be the Attorney also of any other party to any of the Specified Documents or documents referred to in clauses 2(c) or 2(d), unless the Attorney is of the opinion that it would not be in the best interest of the Donor to do so.</w:t>
      </w:r>
    </w:p>
    <w:p>
      <w:pPr>
        <w:pStyle w:val="Heading1"/>
        <w:widowControl/>
        <w:ind w:hanging="0" w:start="0"/>
        <w:rPr>
          <w:lang w:val="en-US"/>
        </w:rPr>
      </w:pPr>
      <w:r>
        <w:rPr>
          <w:lang w:val="en-US"/>
        </w:rPr>
        <w:t>Ratification</w:t>
      </w:r>
    </w:p>
    <w:p>
      <w:pPr>
        <w:pStyle w:val="IndentParaLevel1"/>
        <w:rPr/>
      </w:pPr>
      <w:r>
        <w:rPr/>
        <w:t>The Donor agrees to ratify and confirm whatsoever the Attorney or the Substitute Attorney (if any) lawfully does, purports to do, or causes to be done by virtue of this Power of Attorney including anything which is lawfully done, purportedly done, or caused to be done between the revocation of this Power of Attorney and the time of such revocation coming to the notice of the Attorney or the Substitute Attorney (if any).</w:t>
      </w:r>
    </w:p>
    <w:p>
      <w:pPr>
        <w:pStyle w:val="Heading1"/>
        <w:widowControl/>
        <w:ind w:hanging="0" w:start="0"/>
        <w:rPr>
          <w:lang w:val="en-US"/>
        </w:rPr>
      </w:pPr>
      <w:r>
        <w:rPr>
          <w:lang w:val="en-US"/>
        </w:rPr>
        <w:t>Evidence of Non-Revocation</w:t>
      </w:r>
    </w:p>
    <w:p>
      <w:pPr>
        <w:pStyle w:val="IndentParaLevel1"/>
        <w:rPr/>
      </w:pPr>
      <w:r>
        <w:rPr/>
        <w:t>The Donor declares that a person who deals with the Attorney or the Substitute Attorney (if any) in good faith may accept a written statement by such Attorney or Substitute Attorney (if any) to the effect that he has no notice of revocation of this Power of Attorney as conclusive evidence of that fact.</w:t>
      </w:r>
    </w:p>
    <w:p>
      <w:pPr>
        <w:pStyle w:val="Heading1"/>
        <w:widowControl/>
        <w:ind w:hanging="0" w:start="0"/>
        <w:rPr>
          <w:lang w:val="en-US"/>
        </w:rPr>
      </w:pPr>
      <w:r>
        <w:rPr>
          <w:lang w:val="en-US"/>
        </w:rPr>
        <w:t>Period of Appointment</w:t>
      </w:r>
    </w:p>
    <w:p>
      <w:pPr>
        <w:pStyle w:val="IndentParaLevel1"/>
        <w:rPr/>
      </w:pPr>
      <w:r>
        <w:rPr/>
        <w:t>The Donor declares that this Power of Attorney is irrevocable for the period commencing on the date of this Agreement and expiring on the date specified in the Fourth Schedule.</w:t>
      </w:r>
    </w:p>
    <w:p>
      <w:pPr>
        <w:pStyle w:val="Heading1"/>
        <w:widowControl/>
        <w:ind w:hanging="0" w:start="0"/>
        <w:rPr>
          <w:lang w:val="en-US"/>
        </w:rPr>
      </w:pPr>
      <w:r>
        <w:rPr>
          <w:lang w:val="en-US"/>
        </w:rPr>
        <w:t>Indemnity</w:t>
      </w:r>
    </w:p>
    <w:p>
      <w:pPr>
        <w:pStyle w:val="IndentParaLevel1"/>
        <w:rPr/>
      </w:pPr>
      <w:r>
        <w:rPr/>
        <w:t>The Donor indemnifies and holds the Attorney and the Substitute Attorney (if any), harmless against all losses, claims, costs, demands, liabilities and expenses whatsoever and howsoever arising which may be suffered, sustained or incurred by the Attorney or the Substitute Attorney (if any) as a result of or in respect of the exercise of the Attorney's powers under this Agreement.</w:t>
      </w:r>
    </w:p>
    <w:p>
      <w:pPr>
        <w:pStyle w:val="Heading1"/>
        <w:widowControl/>
        <w:ind w:hanging="0" w:start="0"/>
        <w:rPr>
          <w:lang w:val="en-US"/>
        </w:rPr>
      </w:pPr>
      <w:r>
        <w:rPr>
          <w:lang w:val="en-US"/>
        </w:rPr>
        <w:t>Interpretation</w:t>
      </w:r>
    </w:p>
    <w:p>
      <w:pPr>
        <w:pStyle w:val="IndentParaLevel1"/>
        <w:rPr/>
      </w:pPr>
      <w:r>
        <w:rPr/>
        <w:t>In this Agreement:</w:t>
      </w:r>
    </w:p>
    <w:p>
      <w:pPr>
        <w:pStyle w:val="Heading3"/>
        <w:ind w:hanging="0" w:start="0"/>
        <w:rPr/>
      </w:pPr>
      <w:r>
        <w:rPr/>
        <w:t>words importing the singular include the plural (and vice versa);</w:t>
      </w:r>
    </w:p>
    <w:p>
      <w:pPr>
        <w:pStyle w:val="Heading3"/>
        <w:ind w:hanging="0" w:start="0"/>
        <w:rPr/>
      </w:pPr>
      <w:r>
        <w:rPr/>
        <w:t>words indicating a gender include every other gender; and</w:t>
      </w:r>
    </w:p>
    <w:p>
      <w:pPr>
        <w:pStyle w:val="Heading3"/>
        <w:ind w:hanging="0" w:start="0"/>
        <w:rPr/>
      </w:pPr>
      <w:r>
        <w:rPr/>
        <w:t>the expression "</w:t>
      </w:r>
      <w:r>
        <w:rPr>
          <w:b/>
          <w:bCs w:val="false"/>
        </w:rPr>
        <w:t>person</w:t>
      </w:r>
      <w:r>
        <w:rPr/>
        <w:t>" includes an individual, the estate of an individual, a corporation, an authority, an association or a joint venture (whether incorporated or unincorporated), a partnership and a trust.</w:t>
      </w:r>
    </w:p>
    <w:p>
      <w:pPr>
        <w:pStyle w:val="Normal"/>
        <w:rPr/>
      </w:pPr>
      <w:r>
        <w:rPr/>
      </w:r>
      <w:r>
        <w:br w:type="page"/>
      </w:r>
    </w:p>
    <w:p>
      <w:pPr>
        <w:pStyle w:val="Heading9"/>
        <w:ind w:hanging="0" w:start="0"/>
        <w:rPr/>
      </w:pPr>
      <w:r>
        <w:rPr/>
        <w:t>First Schedule</w:t>
      </w:r>
    </w:p>
    <w:p>
      <w:pPr>
        <w:pStyle w:val="Normal"/>
        <w:rPr/>
      </w:pPr>
      <w:r>
        <w:rPr/>
        <w:t>(the "</w:t>
      </w:r>
      <w:r>
        <w:rPr>
          <w:b/>
          <w:bCs/>
        </w:rPr>
        <w:t>Donor</w:t>
      </w:r>
      <w:r>
        <w:rPr/>
        <w:t>")</w:t>
      </w:r>
    </w:p>
    <w:p>
      <w:pPr>
        <w:pStyle w:val="Normal"/>
        <w:rPr/>
      </w:pPr>
      <w:r>
        <w:rPr/>
        <w:t>Enron Australia Energy Investments LLC</w:t>
      </w:r>
    </w:p>
    <w:p>
      <w:pPr>
        <w:pStyle w:val="Normal"/>
        <w:rPr/>
      </w:pPr>
      <w:r>
        <w:rPr/>
      </w:r>
    </w:p>
    <w:p>
      <w:pPr>
        <w:pStyle w:val="Heading9"/>
        <w:ind w:hanging="0" w:start="0"/>
        <w:rPr/>
      </w:pPr>
      <w:r>
        <w:rPr/>
        <w:t>Second Schedule</w:t>
      </w:r>
    </w:p>
    <w:p>
      <w:pPr>
        <w:pStyle w:val="Normal"/>
        <w:rPr/>
      </w:pPr>
      <w:r>
        <w:rPr/>
        <w:t>(the "</w:t>
      </w:r>
      <w:r>
        <w:rPr>
          <w:b/>
          <w:bCs/>
        </w:rPr>
        <w:t>Attorney</w:t>
      </w:r>
      <w:r>
        <w:rPr/>
        <w:t>")</w:t>
      </w:r>
    </w:p>
    <w:p>
      <w:pPr>
        <w:pStyle w:val="Normal"/>
        <w:rPr/>
      </w:pPr>
      <w:r>
        <w:rPr/>
        <w:t>Paul Michael Quilkey</w:t>
      </w:r>
    </w:p>
    <w:p>
      <w:pPr>
        <w:pStyle w:val="Normal"/>
        <w:rPr/>
      </w:pPr>
      <w:r>
        <w:rPr/>
      </w:r>
    </w:p>
    <w:p>
      <w:pPr>
        <w:pStyle w:val="Heading9"/>
        <w:ind w:hanging="0" w:start="0"/>
        <w:rPr/>
      </w:pPr>
      <w:r>
        <w:rPr/>
        <w:t>Third Schedule</w:t>
      </w:r>
    </w:p>
    <w:p>
      <w:pPr>
        <w:pStyle w:val="Normal"/>
        <w:rPr/>
      </w:pPr>
      <w:r>
        <w:rPr/>
        <w:t>("</w:t>
      </w:r>
      <w:r>
        <w:rPr>
          <w:b/>
          <w:bCs/>
        </w:rPr>
        <w:t>Specified Documents</w:t>
      </w:r>
      <w:r>
        <w:rPr/>
        <w:t>")</w:t>
      </w:r>
    </w:p>
    <w:p>
      <w:pPr>
        <w:pStyle w:val="CUNumber1"/>
        <w:numPr>
          <w:ilvl w:val="0"/>
          <w:numId w:val="9"/>
        </w:numPr>
        <w:ind w:hanging="0" w:start="0"/>
        <w:rPr/>
      </w:pPr>
      <w:r>
        <w:rPr/>
        <w:t>Share Sale Agreement between Macquarie Bank Limited and the Donor in relation to the sale of 100% of the issued share capital in Enron Australia Energy Pty Limited, ACN 082 245 887; and</w:t>
      </w:r>
    </w:p>
    <w:p>
      <w:pPr>
        <w:pStyle w:val="CUNumber1"/>
        <w:numPr>
          <w:ilvl w:val="0"/>
          <w:numId w:val="9"/>
        </w:numPr>
        <w:ind w:hanging="0" w:start="0"/>
        <w:rPr/>
      </w:pPr>
      <w:r>
        <w:rPr/>
        <w:t>Any consents, agreements, transfers, notices, instruments or other documents referred to in the document listed above or which are ancillary or related to it or contemplated by it, including any documents which are required as conditions precedent to execution of or completion under the document listed above.</w:t>
      </w:r>
    </w:p>
    <w:p>
      <w:pPr>
        <w:pStyle w:val="Normal"/>
        <w:rPr/>
      </w:pPr>
      <w:r>
        <w:rPr/>
      </w:r>
    </w:p>
    <w:p>
      <w:pPr>
        <w:pStyle w:val="Heading9"/>
        <w:ind w:hanging="0" w:start="0"/>
        <w:rPr/>
      </w:pPr>
      <w:r>
        <w:rPr/>
        <w:t>Fourth Schedule</w:t>
      </w:r>
    </w:p>
    <w:p>
      <w:pPr>
        <w:pStyle w:val="Normal"/>
        <w:rPr/>
      </w:pPr>
      <w:r>
        <w:rPr/>
        <w:t>(</w:t>
      </w:r>
      <w:r>
        <w:rPr>
          <w:b/>
          <w:bCs/>
        </w:rPr>
        <w:t>Period of Appointment</w:t>
      </w:r>
      <w:r>
        <w:rPr/>
        <w:t>)</w:t>
      </w:r>
    </w:p>
    <w:p>
      <w:pPr>
        <w:pStyle w:val="Normal"/>
        <w:rPr/>
      </w:pPr>
      <w:r>
        <w:rPr/>
        <w:t>Until 31 December 2001</w:t>
      </w:r>
      <w:r>
        <w:br w:type="page"/>
      </w:r>
    </w:p>
    <w:p>
      <w:pPr>
        <w:pStyle w:val="Normal"/>
        <w:rPr/>
      </w:pPr>
      <w:r>
        <w:rPr>
          <w:rFonts w:cs="Arial" w:ascii="Arial" w:hAnsi="Arial"/>
          <w:b/>
          <w:bCs/>
        </w:rPr>
        <w:t>Executed</w:t>
      </w:r>
      <w:r>
        <w:rPr/>
        <w:t xml:space="preserve"> as an agreement.</w:t>
      </w:r>
    </w:p>
    <w:p>
      <w:pPr>
        <w:pStyle w:val="Normal"/>
        <w:rPr>
          <w:rFonts w:ascii="Arial" w:hAnsi="Arial" w:cs="Arial"/>
          <w:b/>
          <w:bCs/>
          <w:color w:val="000000"/>
        </w:rPr>
      </w:pPr>
      <w:r>
        <w:rPr>
          <w:rFonts w:cs="Arial" w:ascii="Arial" w:hAnsi="Arial"/>
          <w:b/>
          <w:bCs/>
          <w:color w:val="000000"/>
        </w:rPr>
      </w:r>
    </w:p>
    <w:tbl>
      <w:tblPr>
        <w:tblW w:w="9570" w:type="dxa"/>
        <w:jc w:val="start"/>
        <w:tblInd w:w="0" w:type="dxa"/>
        <w:tblLayout w:type="fixed"/>
        <w:tblCellMar>
          <w:top w:w="0" w:type="dxa"/>
          <w:start w:w="108" w:type="dxa"/>
          <w:bottom w:w="0" w:type="dxa"/>
          <w:end w:w="108" w:type="dxa"/>
        </w:tblCellMar>
      </w:tblPr>
      <w:tblGrid>
        <w:gridCol w:w="4788"/>
        <w:gridCol w:w="360"/>
        <w:gridCol w:w="360"/>
        <w:gridCol w:w="4062"/>
      </w:tblGrid>
      <w:tr>
        <w:trPr>
          <w:trHeight w:val="1374" w:hRule="atLeast"/>
        </w:trPr>
        <w:tc>
          <w:tcPr>
            <w:tcW w:w="4788" w:type="dxa"/>
            <w:vMerge w:val="restart"/>
            <w:tcBorders/>
          </w:tcPr>
          <w:p>
            <w:pPr>
              <w:pStyle w:val="Normal"/>
              <w:rPr/>
            </w:pPr>
            <w:r>
              <w:rPr>
                <w:rFonts w:cs="Arial" w:ascii="Arial" w:hAnsi="Arial"/>
                <w:b/>
                <w:bCs/>
                <w:color w:val="000000"/>
              </w:rPr>
              <w:t>Executed</w:t>
            </w:r>
            <w:r>
              <w:rPr>
                <w:rFonts w:cs="Arial" w:ascii="Arial" w:hAnsi="Arial"/>
                <w:color w:val="000000"/>
              </w:rPr>
              <w:t xml:space="preserve"> </w:t>
            </w:r>
            <w:r>
              <w:rPr>
                <w:color w:val="000000"/>
              </w:rPr>
              <w:t xml:space="preserve">by </w:t>
            </w:r>
            <w:r>
              <w:rPr>
                <w:rFonts w:cs="Arial" w:ascii="Arial" w:hAnsi="Arial"/>
                <w:b/>
                <w:bCs/>
                <w:color w:val="000000"/>
              </w:rPr>
              <w:t>Enron Australia Energy Investments LLC</w:t>
            </w:r>
            <w:r>
              <w:rPr>
                <w:rFonts w:cs="Arial" w:ascii="Arial" w:hAnsi="Arial"/>
                <w:b/>
                <w:bCs/>
              </w:rPr>
              <w:t xml:space="preserve"> </w:t>
            </w:r>
            <w:r>
              <w:rPr>
                <w:color w:val="000000"/>
              </w:rPr>
              <w:t>by or in the presence of:</w:t>
            </w:r>
          </w:p>
          <w:p>
            <w:pPr>
              <w:pStyle w:val="TableText"/>
              <w:keepNext w:val="true"/>
              <w:rPr>
                <w:color w:val="000000"/>
              </w:rPr>
            </w:pPr>
            <w:r>
              <w:rPr>
                <w:color w:val="000000"/>
              </w:rPr>
            </w:r>
          </w:p>
          <w:p>
            <w:pPr>
              <w:pStyle w:val="TableText"/>
              <w:keepNext w:val="true"/>
              <w:rPr>
                <w:color w:val="000000"/>
              </w:rPr>
            </w:pPr>
            <w:r>
              <w:rPr>
                <w:color w:val="000000"/>
              </w:rPr>
            </w:r>
          </w:p>
          <w:p>
            <w:pPr>
              <w:pStyle w:val="TableText"/>
              <w:keepNext w:val="true"/>
              <w:rPr>
                <w:color w:val="000000"/>
              </w:rPr>
            </w:pPr>
            <w:r>
              <w:rPr>
                <w:color w:val="000000"/>
              </w:rPr>
            </w:r>
          </w:p>
        </w:tc>
        <w:tc>
          <w:tcPr>
            <w:tcW w:w="360" w:type="dxa"/>
            <w:vMerge w:val="restart"/>
            <w:tcBorders>
              <w:end w:val="single" w:sz="4" w:space="0" w:color="000000"/>
            </w:tcBorders>
          </w:tcPr>
          <w:p>
            <w:pPr>
              <w:pStyle w:val="TableText"/>
              <w:keepNext w:val="true"/>
              <w:snapToGrid w:val="false"/>
              <w:rPr>
                <w:color w:val="000000"/>
              </w:rPr>
            </w:pPr>
            <w:r>
              <w:rPr>
                <w:color w:val="000000"/>
              </w:rPr>
            </w:r>
          </w:p>
        </w:tc>
        <w:tc>
          <w:tcPr>
            <w:tcW w:w="360" w:type="dxa"/>
            <w:vMerge w:val="restart"/>
            <w:tcBorders>
              <w:start w:val="single" w:sz="4" w:space="0" w:color="000000"/>
            </w:tcBorders>
          </w:tcPr>
          <w:p>
            <w:pPr>
              <w:pStyle w:val="TableText"/>
              <w:keepNext w:val="true"/>
              <w:snapToGrid w:val="false"/>
              <w:rPr>
                <w:color w:val="000000"/>
              </w:rPr>
            </w:pPr>
            <w:r>
              <w:rPr>
                <w:color w:val="000000"/>
              </w:rPr>
            </w:r>
          </w:p>
        </w:tc>
        <w:tc>
          <w:tcPr>
            <w:tcW w:w="4062" w:type="dxa"/>
            <w:tcBorders/>
            <w:vAlign w:val="bottom"/>
          </w:tcPr>
          <w:p>
            <w:pPr>
              <w:pStyle w:val="TableText"/>
              <w:keepNext w:val="true"/>
              <w:snapToGrid w:val="false"/>
              <w:rPr>
                <w:color w:val="000000"/>
              </w:rPr>
            </w:pPr>
            <w:r>
              <w:rPr>
                <w:color w:val="000000"/>
              </w:rPr>
            </w:r>
          </w:p>
        </w:tc>
      </w:tr>
      <w:tr>
        <w:trPr>
          <w:trHeight w:val="732" w:hRule="atLeast"/>
        </w:trPr>
        <w:tc>
          <w:tcPr>
            <w:tcW w:w="4788" w:type="dxa"/>
            <w:vMerge w:val="continue"/>
            <w:tcBorders/>
          </w:tcPr>
          <w:p>
            <w:pPr>
              <w:pStyle w:val="TableText"/>
              <w:keepNext w:val="true"/>
              <w:snapToGrid w:val="false"/>
              <w:rPr>
                <w:rFonts w:ascii="Arial" w:hAnsi="Arial" w:cs="Arial"/>
                <w:b/>
                <w:bCs/>
                <w:color w:val="000000"/>
                <w:lang w:val="en-CA" w:eastAsia="en-CA"/>
              </w:rPr>
            </w:pPr>
            <w:r>
              <w:rPr>
                <w:rFonts w:cs="Arial" w:ascii="Arial" w:hAnsi="Arial"/>
                <w:b/>
                <w:bCs/>
                <w:color w:val="000000"/>
                <w:lang w:val="en-CA" w:eastAsia="en-CA"/>
              </w:rPr>
            </w:r>
          </w:p>
        </w:tc>
        <w:tc>
          <w:tcPr>
            <w:tcW w:w="360" w:type="dxa"/>
            <w:vMerge w:val="continue"/>
            <w:tcBorders>
              <w:end w:val="single" w:sz="4" w:space="0" w:color="000000"/>
            </w:tcBorders>
          </w:tcPr>
          <w:p>
            <w:pPr>
              <w:pStyle w:val="TableText"/>
              <w:keepNext w:val="true"/>
              <w:snapToGrid w:val="false"/>
              <w:rPr>
                <w:rFonts w:ascii="Arial" w:hAnsi="Arial" w:cs="Arial"/>
                <w:b/>
                <w:bCs/>
                <w:color w:val="000000"/>
                <w:lang w:val="en-CA" w:eastAsia="en-CA"/>
              </w:rPr>
            </w:pPr>
            <w:r>
              <w:rPr>
                <w:rFonts w:cs="Arial" w:ascii="Arial" w:hAnsi="Arial"/>
                <w:b/>
                <w:bCs/>
                <w:color w:val="000000"/>
                <w:lang w:val="en-CA" w:eastAsia="en-CA"/>
              </w:rPr>
            </w:r>
          </w:p>
        </w:tc>
        <w:tc>
          <w:tcPr>
            <w:tcW w:w="360" w:type="dxa"/>
            <w:vMerge w:val="continue"/>
            <w:tcBorders>
              <w:start w:val="single" w:sz="4" w:space="0" w:color="000000"/>
            </w:tcBorders>
          </w:tcPr>
          <w:p>
            <w:pPr>
              <w:pStyle w:val="TableText"/>
              <w:keepNext w:val="true"/>
              <w:snapToGrid w:val="false"/>
              <w:rPr>
                <w:color w:val="000000"/>
              </w:rPr>
            </w:pPr>
            <w:r>
              <w:rPr>
                <w:color w:val="000000"/>
              </w:rPr>
            </w:r>
          </w:p>
        </w:tc>
        <w:tc>
          <w:tcPr>
            <w:tcW w:w="4062" w:type="dxa"/>
            <w:tcBorders/>
          </w:tcPr>
          <w:p>
            <w:pPr>
              <w:pStyle w:val="TableText"/>
              <w:keepNext w:val="true"/>
              <w:snapToGrid w:val="false"/>
              <w:rPr>
                <w:color w:val="000000"/>
              </w:rPr>
            </w:pPr>
            <w:r>
              <w:rPr>
                <w:color w:val="000000"/>
              </w:rPr>
            </w:r>
          </w:p>
        </w:tc>
      </w:tr>
      <w:tr>
        <w:trPr/>
        <w:tc>
          <w:tcPr>
            <w:tcW w:w="4788" w:type="dxa"/>
            <w:tcBorders>
              <w:bottom w:val="single" w:sz="4" w:space="0" w:color="000000"/>
            </w:tcBorders>
          </w:tcPr>
          <w:p>
            <w:pPr>
              <w:pStyle w:val="TableText"/>
              <w:keepNext w:val="true"/>
              <w:snapToGrid w:val="false"/>
              <w:rPr>
                <w:color w:val="000000"/>
              </w:rPr>
            </w:pPr>
            <w:r>
              <w:rPr>
                <w:color w:val="000000"/>
              </w:rPr>
            </w:r>
          </w:p>
        </w:tc>
        <w:tc>
          <w:tcPr>
            <w:tcW w:w="360" w:type="dxa"/>
            <w:tcBorders/>
          </w:tcPr>
          <w:p>
            <w:pPr>
              <w:pStyle w:val="TableText"/>
              <w:keepNext w:val="true"/>
              <w:snapToGrid w:val="false"/>
              <w:rPr>
                <w:color w:val="000000"/>
              </w:rPr>
            </w:pPr>
            <w:r>
              <w:rPr>
                <w:color w:val="000000"/>
              </w:rPr>
            </w:r>
          </w:p>
        </w:tc>
        <w:tc>
          <w:tcPr>
            <w:tcW w:w="360" w:type="dxa"/>
            <w:tcBorders/>
          </w:tcPr>
          <w:p>
            <w:pPr>
              <w:pStyle w:val="TableText"/>
              <w:keepNext w:val="true"/>
              <w:snapToGrid w:val="false"/>
              <w:rPr>
                <w:color w:val="000000"/>
              </w:rPr>
            </w:pPr>
            <w:r>
              <w:rPr>
                <w:color w:val="000000"/>
              </w:rPr>
            </w:r>
          </w:p>
        </w:tc>
        <w:tc>
          <w:tcPr>
            <w:tcW w:w="4062" w:type="dxa"/>
            <w:tcBorders>
              <w:bottom w:val="single" w:sz="4" w:space="0" w:color="000000"/>
            </w:tcBorders>
          </w:tcPr>
          <w:p>
            <w:pPr>
              <w:pStyle w:val="TableText"/>
              <w:keepNext w:val="true"/>
              <w:snapToGrid w:val="false"/>
              <w:rPr>
                <w:color w:val="000000"/>
              </w:rPr>
            </w:pPr>
            <w:r>
              <w:rPr>
                <w:color w:val="000000"/>
              </w:rPr>
            </w:r>
          </w:p>
        </w:tc>
      </w:tr>
      <w:tr>
        <w:trPr>
          <w:trHeight w:val="761" w:hRule="atLeast"/>
        </w:trPr>
        <w:tc>
          <w:tcPr>
            <w:tcW w:w="4788" w:type="dxa"/>
            <w:tcBorders>
              <w:top w:val="single" w:sz="4" w:space="0" w:color="000000"/>
              <w:bottom w:val="single" w:sz="4" w:space="0" w:color="000000"/>
            </w:tcBorders>
          </w:tcPr>
          <w:p>
            <w:pPr>
              <w:pStyle w:val="TableText"/>
              <w:keepNext w:val="true"/>
              <w:rPr>
                <w:color w:val="000000"/>
              </w:rPr>
            </w:pPr>
            <w:r>
              <w:rPr>
                <w:color w:val="000000"/>
              </w:rPr>
              <w:br/>
              <w:t>Witness</w:t>
            </w:r>
          </w:p>
          <w:p>
            <w:pPr>
              <w:pStyle w:val="TableText"/>
              <w:keepNext w:val="true"/>
              <w:rPr>
                <w:color w:val="000000"/>
              </w:rPr>
            </w:pPr>
            <w:r>
              <w:rPr>
                <w:color w:val="000000"/>
              </w:rPr>
            </w:r>
          </w:p>
          <w:p>
            <w:pPr>
              <w:pStyle w:val="TableText"/>
              <w:keepNext w:val="true"/>
              <w:rPr>
                <w:color w:val="000000"/>
              </w:rPr>
            </w:pPr>
            <w:r>
              <w:rPr>
                <w:color w:val="000000"/>
              </w:rPr>
            </w:r>
          </w:p>
          <w:p>
            <w:pPr>
              <w:pStyle w:val="TableText"/>
              <w:keepNext w:val="true"/>
              <w:rPr>
                <w:color w:val="000000"/>
              </w:rPr>
            </w:pPr>
            <w:r>
              <w:rPr>
                <w:color w:val="000000"/>
              </w:rPr>
            </w:r>
          </w:p>
        </w:tc>
        <w:tc>
          <w:tcPr>
            <w:tcW w:w="360" w:type="dxa"/>
            <w:vMerge w:val="restart"/>
            <w:tcBorders/>
          </w:tcPr>
          <w:p>
            <w:pPr>
              <w:pStyle w:val="TableText"/>
              <w:keepNext w:val="true"/>
              <w:snapToGrid w:val="false"/>
              <w:rPr>
                <w:color w:val="000000"/>
              </w:rPr>
            </w:pPr>
            <w:r>
              <w:rPr>
                <w:color w:val="000000"/>
              </w:rPr>
            </w:r>
          </w:p>
        </w:tc>
        <w:tc>
          <w:tcPr>
            <w:tcW w:w="360" w:type="dxa"/>
            <w:vMerge w:val="restart"/>
            <w:tcBorders/>
          </w:tcPr>
          <w:p>
            <w:pPr>
              <w:pStyle w:val="TableText"/>
              <w:keepNext w:val="true"/>
              <w:snapToGrid w:val="false"/>
              <w:rPr>
                <w:color w:val="000000"/>
              </w:rPr>
            </w:pPr>
            <w:r>
              <w:rPr>
                <w:color w:val="000000"/>
              </w:rPr>
            </w:r>
          </w:p>
        </w:tc>
        <w:tc>
          <w:tcPr>
            <w:tcW w:w="4062" w:type="dxa"/>
            <w:tcBorders>
              <w:top w:val="single" w:sz="4" w:space="0" w:color="000000"/>
              <w:bottom w:val="single" w:sz="4" w:space="0" w:color="000000"/>
            </w:tcBorders>
          </w:tcPr>
          <w:p>
            <w:pPr>
              <w:pStyle w:val="TableText"/>
              <w:keepNext w:val="true"/>
              <w:rPr>
                <w:color w:val="000000"/>
              </w:rPr>
            </w:pPr>
            <w:r>
              <w:rPr>
                <w:color w:val="000000"/>
              </w:rPr>
              <w:br/>
              <w:t xml:space="preserve">Authorised Signatory </w:t>
            </w:r>
          </w:p>
        </w:tc>
      </w:tr>
      <w:tr>
        <w:trPr>
          <w:trHeight w:val="576" w:hRule="atLeast"/>
        </w:trPr>
        <w:tc>
          <w:tcPr>
            <w:tcW w:w="4788" w:type="dxa"/>
            <w:tcBorders>
              <w:top w:val="single" w:sz="4" w:space="0" w:color="000000"/>
            </w:tcBorders>
          </w:tcPr>
          <w:p>
            <w:pPr>
              <w:pStyle w:val="TableText"/>
              <w:keepNext w:val="true"/>
              <w:rPr>
                <w:color w:val="000000"/>
                <w:lang w:val="en-CA" w:eastAsia="en-CA"/>
              </w:rPr>
            </w:pPr>
            <w:r>
              <w:rPr>
                <w:color w:val="000000"/>
              </w:rPr>
              <w:br/>
              <w:t>Name of Witness</w:t>
            </w:r>
          </w:p>
        </w:tc>
        <w:tc>
          <w:tcPr>
            <w:tcW w:w="360" w:type="dxa"/>
            <w:vMerge w:val="continue"/>
            <w:tcBorders/>
          </w:tcPr>
          <w:p>
            <w:pPr>
              <w:pStyle w:val="TableText"/>
              <w:keepNext w:val="true"/>
              <w:snapToGrid w:val="false"/>
              <w:rPr>
                <w:color w:val="000000"/>
                <w:lang w:val="en-CA" w:eastAsia="en-CA"/>
              </w:rPr>
            </w:pPr>
            <w:r>
              <w:rPr>
                <w:color w:val="000000"/>
                <w:lang w:val="en-CA" w:eastAsia="en-CA"/>
              </w:rPr>
            </w:r>
          </w:p>
        </w:tc>
        <w:tc>
          <w:tcPr>
            <w:tcW w:w="360" w:type="dxa"/>
            <w:vMerge w:val="continue"/>
            <w:tcBorders/>
          </w:tcPr>
          <w:p>
            <w:pPr>
              <w:pStyle w:val="TableText"/>
              <w:keepNext w:val="true"/>
              <w:snapToGrid w:val="false"/>
              <w:rPr>
                <w:color w:val="000000"/>
              </w:rPr>
            </w:pPr>
            <w:r>
              <w:rPr>
                <w:color w:val="000000"/>
              </w:rPr>
            </w:r>
          </w:p>
        </w:tc>
        <w:tc>
          <w:tcPr>
            <w:tcW w:w="4062" w:type="dxa"/>
            <w:tcBorders>
              <w:top w:val="single" w:sz="4" w:space="0" w:color="000000"/>
            </w:tcBorders>
          </w:tcPr>
          <w:p>
            <w:pPr>
              <w:pStyle w:val="TableText"/>
              <w:keepNext w:val="true"/>
              <w:rPr>
                <w:color w:val="000000"/>
              </w:rPr>
            </w:pPr>
            <w:r>
              <w:rPr>
                <w:color w:val="000000"/>
              </w:rPr>
              <w:br/>
              <w:t>Name of Authorised Signatory</w:t>
            </w:r>
          </w:p>
        </w:tc>
      </w:tr>
    </w:tbl>
    <w:p>
      <w:pPr>
        <w:pStyle w:val="Normal"/>
        <w:rPr/>
      </w:pPr>
      <w:r>
        <w:rPr/>
      </w:r>
    </w:p>
    <w:sectPr>
      <w:footerReference w:type="default" r:id="rId5"/>
      <w:footerReference w:type="first" r:id="rId6"/>
      <w:type w:val="nextPage"/>
      <w:pgSz w:w="11906" w:h="16838"/>
      <w:pgMar w:left="1418" w:right="1134" w:gutter="0" w:header="0" w:top="1134" w:footer="567"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23"/>
      <w:rPr/>
    </w:pPr>
    <w:r>
      <w:rPr>
        <w:rStyle w:val="DocsOpenFilename"/>
      </w:rPr>
      <w:t>SYD5\898\937470.1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Style w:val="DocsOpenFilename"/>
      </w:rPr>
      <w:t>SYD5\898\937470.1</w:t>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86360" cy="131445"/>
              <wp:effectExtent l="0" t="0" r="0" b="0"/>
              <wp:wrapSquare wrapText="bothSides"/>
              <wp:docPr id="3" name="Frame1"/>
              <a:graphic xmlns:a="http://schemas.openxmlformats.org/drawingml/2006/main">
                <a:graphicData uri="http://schemas.microsoft.com/office/word/2010/wordprocessingShape">
                  <wps:wsp>
                    <wps:cNvSpPr txBox="1"/>
                    <wps:spPr>
                      <a:xfrm>
                        <a:off x="0" y="0"/>
                        <a:ext cx="86360" cy="13144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6.8pt;height:10.35pt;mso-wrap-distance-left:0pt;mso-wrap-distance-right:0pt;mso-wrap-distance-top:0pt;mso-wrap-distance-bottom:0pt;margin-top:0.05pt;mso-position-vertical-relative:text;margin-left:460.9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964"/>
        </w:tabs>
        <w:ind w:start="964" w:hanging="964"/>
      </w:pPr>
      <w:rPr>
        <w:caps/>
        <w:sz w:val="28"/>
        <w:i w:val="false"/>
        <w:u w:val="none"/>
        <w:b/>
        <w:rFonts w:ascii="Arial" w:hAnsi="Arial" w:cs="Arial"/>
      </w:rPr>
    </w:lvl>
    <w:lvl w:ilvl="1">
      <w:start w:val="1"/>
      <w:pStyle w:val="Heading2"/>
      <w:numFmt w:val="decimal"/>
      <w:lvlText w:val="%1.%2"/>
      <w:lvlJc w:val="start"/>
      <w:pPr>
        <w:tabs>
          <w:tab w:val="num" w:pos="964"/>
        </w:tabs>
        <w:ind w:start="964" w:hanging="964"/>
      </w:pPr>
      <w:rPr>
        <w:sz w:val="24"/>
        <w:i w:val="false"/>
        <w:u w:val="none"/>
        <w:b/>
        <w:rFonts w:ascii="Arial" w:hAnsi="Arial" w:cs="Arial"/>
      </w:rPr>
    </w:lvl>
    <w:lvl w:ilvl="2">
      <w:start w:val="1"/>
      <w:pStyle w:val="Heading3"/>
      <w:numFmt w:val="lowerLetter"/>
      <w:lvlText w:val="(%3)"/>
      <w:lvlJc w:val="start"/>
      <w:pPr>
        <w:tabs>
          <w:tab w:val="num" w:pos="1928"/>
        </w:tabs>
        <w:ind w:start="1928" w:hanging="964"/>
      </w:pPr>
      <w:rPr>
        <w:i w:val="false"/>
        <w:u w:val="none"/>
        <w:b w:val="false"/>
      </w:rPr>
    </w:lvl>
    <w:lvl w:ilvl="3">
      <w:start w:val="1"/>
      <w:pStyle w:val="Heading4"/>
      <w:numFmt w:val="lowerRoman"/>
      <w:lvlText w:val="(%4)"/>
      <w:lvlJc w:val="start"/>
      <w:pPr>
        <w:tabs>
          <w:tab w:val="num" w:pos="2892"/>
        </w:tabs>
        <w:ind w:start="2892" w:hanging="964"/>
      </w:pPr>
      <w:rPr>
        <w:u w:val="none"/>
      </w:rPr>
    </w:lvl>
    <w:lvl w:ilvl="4">
      <w:start w:val="1"/>
      <w:pStyle w:val="Heading5"/>
      <w:numFmt w:val="upperLetter"/>
      <w:lvlText w:val="%5."/>
      <w:lvlJc w:val="start"/>
      <w:pPr>
        <w:tabs>
          <w:tab w:val="num" w:pos="3856"/>
        </w:tabs>
        <w:ind w:start="3856" w:hanging="964"/>
      </w:pPr>
      <w:rPr>
        <w:i w:val="false"/>
        <w:u w:val="none"/>
        <w:b w:val="false"/>
      </w:rPr>
    </w:lvl>
    <w:lvl w:ilvl="5">
      <w:start w:val="1"/>
      <w:pStyle w:val="Heading6"/>
      <w:numFmt w:val="decimal"/>
      <w:lvlText w:val="%6)"/>
      <w:lvlJc w:val="start"/>
      <w:pPr>
        <w:tabs>
          <w:tab w:val="num" w:pos="4820"/>
        </w:tabs>
        <w:ind w:start="4820" w:hanging="964"/>
      </w:pPr>
      <w:rPr>
        <w:i w:val="false"/>
        <w:u w:val="none"/>
        <w:b w:val="false"/>
      </w:rPr>
    </w:lvl>
    <w:lvl w:ilvl="6">
      <w:start w:val="1"/>
      <w:pStyle w:val="Heading7"/>
      <w:numFmt w:val="lowerLetter"/>
      <w:lvlText w:val="%7)"/>
      <w:lvlJc w:val="start"/>
      <w:pPr>
        <w:tabs>
          <w:tab w:val="num" w:pos="5783"/>
        </w:tabs>
        <w:ind w:start="5783" w:hanging="963"/>
      </w:pPr>
      <w:rPr>
        <w:i w:val="false"/>
        <w:u w:val="none"/>
        <w:b w:val="false"/>
      </w:rPr>
    </w:lvl>
    <w:lvl w:ilvl="7">
      <w:start w:val="1"/>
      <w:pStyle w:val="Heading8"/>
      <w:numFmt w:val="lowerRoman"/>
      <w:lvlText w:val="%8)"/>
      <w:lvlJc w:val="start"/>
      <w:pPr>
        <w:tabs>
          <w:tab w:val="num" w:pos="6747"/>
        </w:tabs>
        <w:ind w:start="6747" w:hanging="964"/>
      </w:pPr>
      <w:rPr>
        <w:i w:val="false"/>
        <w:u w:val="none"/>
        <w:b w:val="false"/>
      </w:rPr>
    </w:lvl>
    <w:lvl w:ilvl="8">
      <w:start w:val="1"/>
      <w:pStyle w:val="Heading9"/>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1492"/>
        </w:tabs>
        <w:ind w:start="1492" w:hanging="360"/>
      </w:pPr>
      <w:rPr>
        <w:rFonts w:ascii="Symbol" w:hAnsi="Symbol" w:cs="Symbol" w:hint="default"/>
      </w:rPr>
    </w:lvl>
  </w:abstractNum>
  <w:abstractNum w:abstractNumId="3">
    <w:lvl w:ilvl="0">
      <w:start w:val="1"/>
      <w:numFmt w:val="bullet"/>
      <w:lvlText w:val=""/>
      <w:lvlJc w:val="start"/>
      <w:pPr>
        <w:tabs>
          <w:tab w:val="num" w:pos="1209"/>
        </w:tabs>
        <w:ind w:start="1209" w:hanging="360"/>
      </w:pPr>
      <w:rPr>
        <w:rFonts w:ascii="Symbol" w:hAnsi="Symbol" w:cs="Symbol" w:hint="default"/>
      </w:rPr>
    </w:lvl>
  </w:abstractNum>
  <w:abstractNum w:abstractNumId="4">
    <w:lvl w:ilvl="0">
      <w:start w:val="1"/>
      <w:numFmt w:val="bullet"/>
      <w:lvlText w:val=""/>
      <w:lvlJc w:val="start"/>
      <w:pPr>
        <w:tabs>
          <w:tab w:val="num" w:pos="926"/>
        </w:tabs>
        <w:ind w:start="926" w:hanging="360"/>
      </w:pPr>
      <w:rPr>
        <w:rFonts w:ascii="Symbol" w:hAnsi="Symbol" w:cs="Symbol" w:hint="default"/>
      </w:rPr>
    </w:lvl>
  </w:abstractNum>
  <w:abstractNum w:abstractNumId="5">
    <w:lvl w:ilvl="0">
      <w:start w:val="1"/>
      <w:numFmt w:val="bullet"/>
      <w:lvlText w:val=""/>
      <w:lvlJc w:val="start"/>
      <w:pPr>
        <w:tabs>
          <w:tab w:val="num" w:pos="643"/>
        </w:tabs>
        <w:ind w:start="643"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964"/>
        </w:tabs>
        <w:ind w:start="964" w:hanging="964"/>
      </w:pPr>
      <w:rPr>
        <w:caps/>
        <w:sz w:val="28"/>
        <w:i w:val="false"/>
        <w:u w:val="none"/>
        <w:b/>
        <w:rFonts w:ascii="Arial" w:hAnsi="Arial" w:cs="Arial"/>
      </w:rPr>
    </w:lvl>
    <w:lvl w:ilvl="1">
      <w:start w:val="1"/>
      <w:numFmt w:val="decimal"/>
      <w:lvlText w:val="%1.%2"/>
      <w:lvlJc w:val="start"/>
      <w:pPr>
        <w:tabs>
          <w:tab w:val="num" w:pos="964"/>
        </w:tabs>
        <w:ind w:start="964" w:hanging="964"/>
      </w:pPr>
      <w:rPr>
        <w:sz w:val="24"/>
        <w:i w:val="false"/>
        <w:u w:val="none"/>
        <w:b/>
        <w:rFonts w:ascii="Arial" w:hAnsi="Arial" w:cs="Arial"/>
      </w:rPr>
    </w:lvl>
    <w:lvl w:ilvl="2">
      <w:start w:val="1"/>
      <w:numFmt w:val="lowerLetter"/>
      <w:lvlText w:val="(%3)"/>
      <w:lvlJc w:val="start"/>
      <w:pPr>
        <w:tabs>
          <w:tab w:val="num" w:pos="1928"/>
        </w:tabs>
        <w:ind w:start="1928" w:hanging="964"/>
      </w:pPr>
      <w:rPr>
        <w:i w:val="false"/>
        <w:u w:val="none"/>
        <w:b w:val="false"/>
      </w:rPr>
    </w:lvl>
    <w:lvl w:ilvl="3">
      <w:start w:val="1"/>
      <w:numFmt w:val="lowerRoman"/>
      <w:lvlText w:val="(%4)"/>
      <w:lvlJc w:val="start"/>
      <w:pPr>
        <w:tabs>
          <w:tab w:val="num" w:pos="2892"/>
        </w:tabs>
        <w:ind w:start="2892" w:hanging="964"/>
      </w:pPr>
      <w:rPr>
        <w:u w:val="none"/>
      </w:rPr>
    </w:lvl>
    <w:lvl w:ilvl="4">
      <w:start w:val="1"/>
      <w:numFmt w:val="upperLetter"/>
      <w:lvlText w:val="%5."/>
      <w:lvlJc w:val="start"/>
      <w:pPr>
        <w:tabs>
          <w:tab w:val="num" w:pos="3856"/>
        </w:tabs>
        <w:ind w:start="3856" w:hanging="964"/>
      </w:pPr>
      <w:rPr>
        <w:i w:val="false"/>
        <w:u w:val="none"/>
        <w:b w:val="false"/>
      </w:rPr>
    </w:lvl>
    <w:lvl w:ilvl="5">
      <w:start w:val="1"/>
      <w:numFmt w:val="decimal"/>
      <w:lvlText w:val="%6)"/>
      <w:lvlJc w:val="start"/>
      <w:pPr>
        <w:tabs>
          <w:tab w:val="num" w:pos="4820"/>
        </w:tabs>
        <w:ind w:start="4820" w:hanging="964"/>
      </w:pPr>
      <w:rPr>
        <w:i w:val="false"/>
        <w:u w:val="none"/>
        <w:b w:val="false"/>
      </w:rPr>
    </w:lvl>
    <w:lvl w:ilvl="6">
      <w:start w:val="1"/>
      <w:numFmt w:val="lowerLetter"/>
      <w:lvlText w:val="%7)"/>
      <w:lvlJc w:val="start"/>
      <w:pPr>
        <w:tabs>
          <w:tab w:val="num" w:pos="5783"/>
        </w:tabs>
        <w:ind w:start="5783" w:hanging="963"/>
      </w:pPr>
      <w:rPr>
        <w:i w:val="false"/>
        <w:u w:val="none"/>
        <w:b w:val="false"/>
      </w:rPr>
    </w:lvl>
    <w:lvl w:ilvl="7">
      <w:start w:val="1"/>
      <w:numFmt w:val="lowerRoman"/>
      <w:lvlText w:val="%8)"/>
      <w:lvlJc w:val="start"/>
      <w:pPr>
        <w:tabs>
          <w:tab w:val="num" w:pos="6747"/>
        </w:tabs>
        <w:ind w:start="6747" w:hanging="964"/>
      </w:pPr>
      <w:rPr>
        <w:i w:val="false"/>
        <w:u w:val="none"/>
        <w:b w:val="false"/>
      </w:rPr>
    </w:lvl>
    <w:lvl w:ilvl="8">
      <w:start w:val="1"/>
      <w:numFmt w:val="none"/>
      <w:suff w:val="nothing"/>
      <w:lvlText w:val=""/>
      <w:lvlJc w:val="start"/>
      <w:pPr>
        <w:tabs>
          <w:tab w:val="num" w:pos="0"/>
        </w:tabs>
        <w:ind w:start="0" w:hanging="0"/>
      </w:pPr>
      <w:rPr/>
    </w:lvl>
  </w:abstractNum>
  <w:abstractNum w:abstractNumId="8">
    <w:lvl w:ilvl="0">
      <w:start w:val="1"/>
      <w:numFmt w:val="bullet"/>
      <w:lvlText w:val=""/>
      <w:lvlJc w:val="start"/>
      <w:pPr>
        <w:tabs>
          <w:tab w:val="num" w:pos="964"/>
        </w:tabs>
        <w:ind w:start="964" w:hanging="964"/>
      </w:pPr>
      <w:rPr>
        <w:rFonts w:ascii="Symbol" w:hAnsi="Symbol" w:cs="Symbol" w:hint="default"/>
      </w:rPr>
    </w:lvl>
    <w:lvl w:ilvl="1">
      <w:start w:val="1"/>
      <w:numFmt w:val="upperLetter"/>
      <w:lvlText w:val="%2."/>
      <w:lvlJc w:val="start"/>
      <w:pPr>
        <w:tabs>
          <w:tab w:val="num" w:pos="2044"/>
        </w:tabs>
        <w:ind w:start="2044" w:hanging="964"/>
      </w:pPr>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1"/>
      <w:numFmt w:val="decimal"/>
      <w:lvlText w:val="%1."/>
      <w:lvlJc w:val="start"/>
      <w:pPr>
        <w:tabs>
          <w:tab w:val="num" w:pos="964"/>
        </w:tabs>
        <w:ind w:start="964" w:hanging="964"/>
      </w:pPr>
      <w:rPr>
        <w:caps/>
        <w:sz w:val="22"/>
        <w:i w:val="false"/>
        <w:u w:val="none"/>
        <w:b w:val="false"/>
        <w:rFonts w:ascii="Times New Roman" w:hAnsi="Times New Roman" w:cs="Times New Roman"/>
      </w:rPr>
    </w:lvl>
    <w:lvl w:ilvl="1">
      <w:start w:val="1"/>
      <w:numFmt w:val="decimal"/>
      <w:lvlText w:val="%1.%2"/>
      <w:lvlJc w:val="start"/>
      <w:pPr>
        <w:tabs>
          <w:tab w:val="num" w:pos="964"/>
        </w:tabs>
        <w:ind w:start="964" w:hanging="964"/>
      </w:pPr>
      <w:rPr>
        <w:sz w:val="22"/>
        <w:i w:val="false"/>
        <w:u w:val="none"/>
        <w:b w:val="false"/>
        <w:rFonts w:ascii="Times New Roman" w:hAnsi="Times New Roman" w:cs="Times New Roman"/>
      </w:rPr>
    </w:lvl>
    <w:lvl w:ilvl="2">
      <w:start w:val="1"/>
      <w:numFmt w:val="lowerLetter"/>
      <w:lvlText w:val="(%3)"/>
      <w:lvlJc w:val="start"/>
      <w:pPr>
        <w:tabs>
          <w:tab w:val="num" w:pos="1928"/>
        </w:tabs>
        <w:ind w:start="1928" w:hanging="964"/>
      </w:pPr>
      <w:rPr>
        <w:sz w:val="22"/>
        <w:i w:val="false"/>
        <w:u w:val="none"/>
        <w:b w:val="false"/>
        <w:rFonts w:ascii="Times New Roman" w:hAnsi="Times New Roman" w:cs="Times New Roman"/>
      </w:rPr>
    </w:lvl>
    <w:lvl w:ilvl="3">
      <w:start w:val="1"/>
      <w:numFmt w:val="lowerRoman"/>
      <w:lvlText w:val="(%4)"/>
      <w:lvlJc w:val="start"/>
      <w:pPr>
        <w:tabs>
          <w:tab w:val="num" w:pos="2891"/>
        </w:tabs>
        <w:ind w:start="2891" w:hanging="963"/>
      </w:pPr>
      <w:rPr>
        <w:sz w:val="22"/>
        <w:i w:val="false"/>
        <w:u w:val="none"/>
        <w:b w:val="false"/>
        <w:rFonts w:ascii="Times New Roman" w:hAnsi="Times New Roman" w:cs="Times New Roman"/>
      </w:rPr>
    </w:lvl>
    <w:lvl w:ilvl="4">
      <w:start w:val="1"/>
      <w:numFmt w:val="upperLetter"/>
      <w:lvlText w:val="%5."/>
      <w:lvlJc w:val="start"/>
      <w:pPr>
        <w:tabs>
          <w:tab w:val="num" w:pos="3855"/>
        </w:tabs>
        <w:ind w:start="3855" w:hanging="964"/>
      </w:pPr>
      <w:rPr>
        <w:sz w:val="22"/>
        <w:i w:val="false"/>
        <w:u w:val="none"/>
        <w:b w:val="false"/>
        <w:rFonts w:ascii="Times New Roman" w:hAnsi="Times New Roman" w:cs="Times New Roman"/>
      </w:rPr>
    </w:lvl>
    <w:lvl w:ilvl="5">
      <w:start w:val="1"/>
      <w:numFmt w:val="decimal"/>
      <w:lvlText w:val="%6)"/>
      <w:lvlJc w:val="start"/>
      <w:pPr>
        <w:tabs>
          <w:tab w:val="num" w:pos="4819"/>
        </w:tabs>
        <w:ind w:start="4819" w:hanging="964"/>
      </w:pPr>
      <w:rPr>
        <w:sz w:val="22"/>
        <w:i w:val="false"/>
        <w:u w:val="none"/>
        <w:b w:val="false"/>
        <w:rFonts w:ascii="Times New Roman" w:hAnsi="Times New Roman" w:cs="Times New Roman"/>
      </w:rPr>
    </w:lvl>
    <w:lvl w:ilvl="6">
      <w:start w:val="1"/>
      <w:numFmt w:val="lowerLetter"/>
      <w:lvlText w:val="%7)"/>
      <w:lvlJc w:val="start"/>
      <w:pPr>
        <w:tabs>
          <w:tab w:val="num" w:pos="5783"/>
        </w:tabs>
        <w:ind w:start="5783" w:hanging="964"/>
      </w:pPr>
      <w:rPr>
        <w:sz w:val="22"/>
        <w:i w:val="false"/>
        <w:u w:val="none"/>
        <w:b w:val="false"/>
        <w:rFonts w:ascii="Times New Roman" w:hAnsi="Times New Roman" w:cs="Times New Roman"/>
      </w:rPr>
    </w:lvl>
    <w:lvl w:ilvl="7">
      <w:start w:val="1"/>
      <w:numFmt w:val="lowerRoman"/>
      <w:lvlText w:val="%8)"/>
      <w:lvlJc w:val="start"/>
      <w:pPr>
        <w:tabs>
          <w:tab w:val="num" w:pos="6746"/>
        </w:tabs>
        <w:ind w:start="6746" w:hanging="963"/>
      </w:pPr>
      <w:rPr>
        <w:sz w:val="22"/>
        <w:i w:val="false"/>
        <w:u w:val="none"/>
        <w:b w:val="false"/>
        <w:rFonts w:ascii="Times New Roman" w:hAnsi="Times New Roman" w:cs="Times New Roman"/>
      </w:rPr>
    </w:lvl>
    <w:lvl w:ilvl="8">
      <w:start w:val="1"/>
      <w:numFmt w:val="none"/>
      <w:suff w:val="nothing"/>
      <w:lvlText w:val=""/>
      <w:lvlJc w:val="start"/>
      <w:pPr>
        <w:tabs>
          <w:tab w:val="num" w:pos="0"/>
        </w:tabs>
        <w:ind w:start="0" w:hanging="0"/>
      </w:pPr>
      <w:rPr>
        <w:sz w:val="24"/>
        <w:i w:val="fals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
    <w:lvlOverride w:ilvl="0">
      <w:startOverride w:val="1"/>
    </w:lvlOverride>
  </w:num>
</w:numbering>
</file>

<file path=word/settings.xml><?xml version="1.0" encoding="utf-8"?>
<w:settings xmlns:w="http://schemas.openxmlformats.org/wordprocessingml/2006/main">
  <w:zoom w:percent="100"/>
  <w:defaultTabStop w:val="964"/>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next w:val="IndentParaLevel1"/>
    <w:qFormat/>
    <w:pPr>
      <w:keepNext w:val="true"/>
      <w:widowControl w:val="false"/>
      <w:numPr>
        <w:ilvl w:val="0"/>
        <w:numId w:val="1"/>
      </w:numPr>
      <w:pBdr>
        <w:top w:val="single" w:sz="12" w:space="1" w:color="000000"/>
      </w:pBdr>
      <w:bidi w:val="0"/>
      <w:spacing w:before="0" w:after="220"/>
      <w:outlineLvl w:val="0"/>
    </w:pPr>
    <w:rPr>
      <w:rFonts w:ascii="Arial" w:hAnsi="Arial" w:eastAsia="Times New Roman" w:cs="Arial"/>
      <w:b/>
      <w:bCs/>
      <w:color w:val="auto"/>
      <w:sz w:val="28"/>
      <w:szCs w:val="32"/>
      <w:lang w:val="en-AU" w:bidi="ar-SA" w:eastAsia="zh-CN"/>
    </w:rPr>
  </w:style>
  <w:style w:type="paragraph" w:styleId="Heading2">
    <w:name w:val="heading 2"/>
    <w:next w:val="IndentParaLevel1"/>
    <w:qFormat/>
    <w:pPr>
      <w:keepNext w:val="true"/>
      <w:widowControl w:val="false"/>
      <w:numPr>
        <w:ilvl w:val="1"/>
        <w:numId w:val="1"/>
      </w:numPr>
      <w:bidi w:val="0"/>
      <w:spacing w:before="0" w:after="220"/>
      <w:outlineLvl w:val="1"/>
    </w:pPr>
    <w:rPr>
      <w:rFonts w:ascii="Arial" w:hAnsi="Arial" w:eastAsia="Times New Roman" w:cs="Arial"/>
      <w:b/>
      <w:bCs/>
      <w:iCs/>
      <w:color w:val="auto"/>
      <w:sz w:val="24"/>
      <w:szCs w:val="28"/>
      <w:lang w:val="en-AU" w:bidi="ar-SA" w:eastAsia="zh-CN"/>
    </w:rPr>
  </w:style>
  <w:style w:type="paragraph" w:styleId="Heading3">
    <w:name w:val="heading 3"/>
    <w:basedOn w:val="Normal"/>
    <w:next w:val="BodyText"/>
    <w:qFormat/>
    <w:pPr>
      <w:numPr>
        <w:ilvl w:val="2"/>
        <w:numId w:val="1"/>
      </w:numPr>
      <w:outlineLvl w:val="2"/>
    </w:pPr>
    <w:rPr>
      <w:rFonts w:cs="Arial"/>
      <w:bCs/>
      <w:szCs w:val="26"/>
    </w:rPr>
  </w:style>
  <w:style w:type="paragraph" w:styleId="Heading4">
    <w:name w:val="heading 4"/>
    <w:basedOn w:val="Normal"/>
    <w:next w:val="BodyText"/>
    <w:qFormat/>
    <w:pPr>
      <w:numPr>
        <w:ilvl w:val="3"/>
        <w:numId w:val="1"/>
      </w:numPr>
      <w:outlineLvl w:val="3"/>
    </w:pPr>
    <w:rPr>
      <w:bCs/>
      <w:szCs w:val="28"/>
    </w:rPr>
  </w:style>
  <w:style w:type="paragraph" w:styleId="Heading5">
    <w:name w:val="heading 5"/>
    <w:basedOn w:val="Normal"/>
    <w:next w:val="BodyText"/>
    <w:qFormat/>
    <w:pPr>
      <w:numPr>
        <w:ilvl w:val="4"/>
        <w:numId w:val="1"/>
      </w:numPr>
      <w:outlineLvl w:val="4"/>
    </w:pPr>
    <w:rPr>
      <w:bCs/>
      <w:iCs/>
      <w:szCs w:val="26"/>
    </w:rPr>
  </w:style>
  <w:style w:type="paragraph" w:styleId="Heading6">
    <w:name w:val="heading 6"/>
    <w:basedOn w:val="Normal"/>
    <w:next w:val="BodyText"/>
    <w:qFormat/>
    <w:pPr>
      <w:numPr>
        <w:ilvl w:val="5"/>
        <w:numId w:val="1"/>
      </w:numPr>
      <w:outlineLvl w:val="5"/>
    </w:pPr>
    <w:rPr>
      <w:bCs/>
      <w:szCs w:val="22"/>
    </w:rPr>
  </w:style>
  <w:style w:type="paragraph" w:styleId="Heading7">
    <w:name w:val="heading 7"/>
    <w:basedOn w:val="Normal"/>
    <w:next w:val="BodyText"/>
    <w:qFormat/>
    <w:pPr>
      <w:numPr>
        <w:ilvl w:val="6"/>
        <w:numId w:val="1"/>
      </w:numPr>
      <w:outlineLvl w:val="6"/>
    </w:pPr>
    <w:rPr/>
  </w:style>
  <w:style w:type="paragraph" w:styleId="Heading8">
    <w:name w:val="heading 8"/>
    <w:basedOn w:val="Normal"/>
    <w:next w:val="BodyText"/>
    <w:qFormat/>
    <w:pPr>
      <w:numPr>
        <w:ilvl w:val="7"/>
        <w:numId w:val="1"/>
      </w:numPr>
      <w:outlineLvl w:val="7"/>
    </w:pPr>
    <w:rPr>
      <w:iCs/>
    </w:rPr>
  </w:style>
  <w:style w:type="paragraph" w:styleId="Heading9">
    <w:name w:val="heading 9"/>
    <w:basedOn w:val="Normal"/>
    <w:next w:val="Normal"/>
    <w:qFormat/>
    <w:pPr>
      <w:numPr>
        <w:ilvl w:val="8"/>
        <w:numId w:val="1"/>
      </w:numPr>
      <w:outlineLvl w:val="8"/>
    </w:pPr>
    <w:rPr>
      <w:rFonts w:ascii="Arial" w:hAnsi="Arial" w:cs="Arial"/>
      <w:b/>
      <w:sz w:val="24"/>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Arial" w:hAnsi="Arial" w:cs="Arial"/>
      <w:b/>
      <w:i w:val="false"/>
      <w:caps/>
      <w:sz w:val="28"/>
      <w:u w:val="none"/>
    </w:rPr>
  </w:style>
  <w:style w:type="character" w:styleId="WW8Num11z1">
    <w:name w:val="WW8Num11z1"/>
    <w:qFormat/>
    <w:rPr>
      <w:rFonts w:ascii="Arial" w:hAnsi="Arial" w:cs="Arial"/>
      <w:b/>
      <w:i w:val="false"/>
      <w:sz w:val="24"/>
      <w:u w:val="none"/>
    </w:rPr>
  </w:style>
  <w:style w:type="character" w:styleId="WW8Num11z2">
    <w:name w:val="WW8Num11z2"/>
    <w:qFormat/>
    <w:rPr>
      <w:b w:val="false"/>
      <w:i w:val="false"/>
      <w:u w:val="none"/>
    </w:rPr>
  </w:style>
  <w:style w:type="character" w:styleId="WW8Num11z3">
    <w:name w:val="WW8Num11z3"/>
    <w:qFormat/>
    <w:rPr>
      <w:u w:val="none"/>
    </w:rPr>
  </w:style>
  <w:style w:type="character" w:styleId="WW8Num11z8">
    <w:name w:val="WW8Num11z8"/>
    <w:qFormat/>
    <w:rPr/>
  </w:style>
  <w:style w:type="character" w:styleId="WW8Num12z0">
    <w:name w:val="WW8Num12z0"/>
    <w:qFormat/>
    <w:rPr>
      <w:rFonts w:ascii="Symbol" w:hAnsi="Symbol" w:cs="Symbol"/>
    </w:rPr>
  </w:style>
  <w:style w:type="character" w:styleId="WW8Num12z1">
    <w:name w:val="WW8Num12z1"/>
    <w:qFormat/>
    <w:rPr/>
  </w:style>
  <w:style w:type="character" w:styleId="WW8Num12z2">
    <w:name w:val="WW8Num12z2"/>
    <w:qFormat/>
    <w:rPr>
      <w:rFonts w:ascii="Wingdings" w:hAnsi="Wingdings" w:cs="Wingdings"/>
    </w:rPr>
  </w:style>
  <w:style w:type="character" w:styleId="WW8Num12z4">
    <w:name w:val="WW8Num12z4"/>
    <w:qFormat/>
    <w:rPr>
      <w:rFonts w:ascii="Courier New" w:hAnsi="Courier New" w:cs="Courier New"/>
    </w:rPr>
  </w:style>
  <w:style w:type="character" w:styleId="WW8Num13z0">
    <w:name w:val="WW8Num13z0"/>
    <w:qFormat/>
    <w:rPr>
      <w:rFonts w:ascii="Times New Roman" w:hAnsi="Times New Roman" w:cs="Times New Roman"/>
      <w:b w:val="false"/>
      <w:i w:val="false"/>
      <w:caps/>
      <w:sz w:val="22"/>
      <w:u w:val="none"/>
    </w:rPr>
  </w:style>
  <w:style w:type="character" w:styleId="WW8Num13z1">
    <w:name w:val="WW8Num13z1"/>
    <w:qFormat/>
    <w:rPr>
      <w:rFonts w:ascii="Times New Roman" w:hAnsi="Times New Roman" w:cs="Times New Roman"/>
      <w:b w:val="false"/>
      <w:i w:val="false"/>
      <w:sz w:val="22"/>
      <w:u w:val="none"/>
    </w:rPr>
  </w:style>
  <w:style w:type="character" w:styleId="WW8Num13z8">
    <w:name w:val="WW8Num13z8"/>
    <w:qFormat/>
    <w:rPr>
      <w:rFonts w:ascii="Times New Roman" w:hAnsi="Times New Roman" w:cs="Times New Roman"/>
      <w:b w:val="false"/>
      <w:i w:val="false"/>
      <w:sz w:val="24"/>
    </w:rPr>
  </w:style>
  <w:style w:type="character" w:styleId="WW8Num14z0">
    <w:name w:val="WW8Num14z0"/>
    <w:qFormat/>
    <w:rPr>
      <w:rFonts w:ascii="Arial" w:hAnsi="Arial" w:cs="Arial"/>
      <w:b/>
      <w:i w:val="false"/>
      <w:caps/>
      <w:sz w:val="28"/>
      <w:u w:val="none"/>
    </w:rPr>
  </w:style>
  <w:style w:type="character" w:styleId="WW8Num14z1">
    <w:name w:val="WW8Num14z1"/>
    <w:qFormat/>
    <w:rPr>
      <w:rFonts w:ascii="Arial" w:hAnsi="Arial" w:cs="Arial"/>
      <w:b/>
      <w:i w:val="false"/>
      <w:sz w:val="24"/>
      <w:u w:val="none"/>
    </w:rPr>
  </w:style>
  <w:style w:type="character" w:styleId="WW8Num14z2">
    <w:name w:val="WW8Num14z2"/>
    <w:qFormat/>
    <w:rPr>
      <w:b w:val="false"/>
      <w:i w:val="false"/>
      <w:u w:val="none"/>
    </w:rPr>
  </w:style>
  <w:style w:type="character" w:styleId="WW8Num14z3">
    <w:name w:val="WW8Num14z3"/>
    <w:qFormat/>
    <w:rPr>
      <w:u w:val="none"/>
    </w:rPr>
  </w:style>
  <w:style w:type="character" w:styleId="WW8Num14z8">
    <w:name w:val="WW8Num14z8"/>
    <w:qFormat/>
    <w:rPr/>
  </w:style>
  <w:style w:type="character" w:styleId="DefaultParagraphFont">
    <w:name w:val="Default Paragraph Font"/>
    <w:qFormat/>
    <w:rPr/>
  </w:style>
  <w:style w:type="character" w:styleId="DocsOpenFilename">
    <w:name w:val="DocsOpen Filename"/>
    <w:basedOn w:val="DefaultParagraphFont"/>
    <w:qFormat/>
    <w:rPr>
      <w:rFonts w:ascii="Times New Roman" w:hAnsi="Times New Roman" w:cs="Times New Roman"/>
      <w:sz w:val="18"/>
    </w:rPr>
  </w:style>
  <w:style w:type="character" w:styleId="Hyperlink">
    <w:name w:val="Hyperlink"/>
    <w:basedOn w:val="DefaultParagraphFont"/>
    <w:rPr>
      <w:color w:val="0000FF"/>
      <w:u w:val="single"/>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bCs/>
      <w:sz w:val="28"/>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bCs/>
      <w:szCs w:val="20"/>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left" w:pos="964" w:leader="dot"/>
        <w:tab w:val="right" w:pos="9356" w:leader="dot"/>
      </w:tabs>
      <w:spacing w:before="120" w:after="120"/>
      <w:ind w:hanging="964" w:start="964" w:end="1134"/>
    </w:pPr>
    <w:rPr>
      <w:rFonts w:ascii="Arial" w:hAnsi="Arial" w:cs="Arial"/>
      <w:b/>
    </w:rPr>
  </w:style>
  <w:style w:type="paragraph" w:styleId="TOC2">
    <w:name w:val="toc 2"/>
    <w:basedOn w:val="Normal"/>
    <w:next w:val="Normal"/>
    <w:pPr>
      <w:tabs>
        <w:tab w:val="clear" w:pos="964"/>
        <w:tab w:val="left" w:pos="1928" w:leader="none"/>
        <w:tab w:val="right" w:pos="9356" w:leader="dot"/>
      </w:tabs>
      <w:spacing w:before="0" w:after="0"/>
      <w:ind w:hanging="964" w:start="1928" w:end="1134"/>
    </w:pPr>
    <w:rPr>
      <w:rFonts w:ascii="Arial" w:hAnsi="Arial" w:cs="Arial"/>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CUAddress">
    <w:name w:val="CU_Address"/>
    <w:basedOn w:val="Normal"/>
    <w:qFormat/>
    <w:pPr>
      <w:spacing w:before="0" w:after="0"/>
    </w:pPr>
    <w:rPr>
      <w:sz w:val="18"/>
    </w:rPr>
  </w:style>
  <w:style w:type="paragraph" w:styleId="CULtrAddress">
    <w:name w:val="CU_LtrAddress"/>
    <w:basedOn w:val="Normal"/>
    <w:qFormat/>
    <w:pPr>
      <w:spacing w:before="0" w:after="100"/>
    </w:pPr>
    <w:rPr>
      <w:sz w:val="18"/>
      <w:lang w:bidi="he-IL"/>
    </w:rPr>
  </w:style>
  <w:style w:type="paragraph" w:styleId="CUNumber1">
    <w:name w:val="CU_Number1"/>
    <w:basedOn w:val="Normal"/>
    <w:qFormat/>
    <w:pPr>
      <w:numPr>
        <w:ilvl w:val="0"/>
        <w:numId w:val="9"/>
      </w:numPr>
      <w:outlineLvl w:val="0"/>
    </w:pPr>
    <w:rPr/>
  </w:style>
  <w:style w:type="paragraph" w:styleId="CUNumber2">
    <w:name w:val="CU_Number2"/>
    <w:basedOn w:val="Normal"/>
    <w:qFormat/>
    <w:pPr>
      <w:numPr>
        <w:ilvl w:val="0"/>
        <w:numId w:val="9"/>
      </w:numPr>
      <w:outlineLvl w:val="1"/>
    </w:pPr>
    <w:rPr/>
  </w:style>
  <w:style w:type="paragraph" w:styleId="CUNumber3">
    <w:name w:val="CU_Number3"/>
    <w:basedOn w:val="Normal"/>
    <w:qFormat/>
    <w:pPr>
      <w:numPr>
        <w:ilvl w:val="0"/>
        <w:numId w:val="9"/>
      </w:numPr>
      <w:tabs>
        <w:tab w:val="left" w:pos="964" w:leader="none"/>
      </w:tabs>
      <w:outlineLvl w:val="2"/>
    </w:pPr>
    <w:rPr/>
  </w:style>
  <w:style w:type="paragraph" w:styleId="CUNumber4">
    <w:name w:val="CU_Number4"/>
    <w:basedOn w:val="Normal"/>
    <w:qFormat/>
    <w:pPr>
      <w:numPr>
        <w:ilvl w:val="0"/>
        <w:numId w:val="9"/>
      </w:numPr>
      <w:ind w:hanging="964" w:start="2892" w:end="0"/>
      <w:outlineLvl w:val="3"/>
    </w:pPr>
    <w:rPr/>
  </w:style>
  <w:style w:type="paragraph" w:styleId="CUNumber5">
    <w:name w:val="CU_Number5"/>
    <w:basedOn w:val="Normal"/>
    <w:qFormat/>
    <w:pPr>
      <w:numPr>
        <w:ilvl w:val="0"/>
        <w:numId w:val="9"/>
      </w:numPr>
      <w:ind w:hanging="0" w:start="3856" w:end="0"/>
      <w:outlineLvl w:val="4"/>
    </w:pPr>
    <w:rPr/>
  </w:style>
  <w:style w:type="paragraph" w:styleId="CUNumber6">
    <w:name w:val="CU_Number6"/>
    <w:basedOn w:val="Normal"/>
    <w:qFormat/>
    <w:pPr>
      <w:numPr>
        <w:ilvl w:val="0"/>
        <w:numId w:val="9"/>
      </w:numPr>
      <w:ind w:hanging="0" w:start="4820" w:end="0"/>
      <w:outlineLvl w:val="5"/>
    </w:pPr>
    <w:rPr/>
  </w:style>
  <w:style w:type="paragraph" w:styleId="CUNumber7">
    <w:name w:val="CU_Number7"/>
    <w:basedOn w:val="Normal"/>
    <w:qFormat/>
    <w:pPr>
      <w:numPr>
        <w:ilvl w:val="0"/>
        <w:numId w:val="9"/>
      </w:numPr>
      <w:ind w:hanging="0" w:start="5784" w:end="0"/>
      <w:outlineLvl w:val="6"/>
    </w:pPr>
    <w:rPr/>
  </w:style>
  <w:style w:type="paragraph" w:styleId="CUNumber8">
    <w:name w:val="CU_Number8"/>
    <w:basedOn w:val="Normal"/>
    <w:qFormat/>
    <w:pPr>
      <w:numPr>
        <w:ilvl w:val="0"/>
        <w:numId w:val="9"/>
      </w:numPr>
      <w:ind w:hanging="964" w:start="6747" w:end="0"/>
      <w:outlineLvl w:val="7"/>
    </w:pPr>
    <w:rPr/>
  </w:style>
  <w:style w:type="paragraph" w:styleId="HeaderandFooter">
    <w:name w:val="Header and Footer"/>
    <w:basedOn w:val="Normal"/>
    <w:qFormat/>
    <w:pPr>
      <w:suppressLineNumbers/>
      <w:tabs>
        <w:tab w:val="clear" w:pos="964"/>
        <w:tab w:val="center" w:pos="4986" w:leader="none"/>
        <w:tab w:val="right" w:pos="9972" w:leader="none"/>
      </w:tabs>
    </w:pPr>
    <w:rPr/>
  </w:style>
  <w:style w:type="paragraph" w:styleId="Footer">
    <w:name w:val="footer"/>
    <w:basedOn w:val="Normal"/>
    <w:pPr>
      <w:tabs>
        <w:tab w:val="clear" w:pos="964"/>
        <w:tab w:val="center" w:pos="4678" w:leader="none"/>
        <w:tab w:val="right" w:pos="9356" w:leader="none"/>
      </w:tabs>
    </w:pPr>
    <w:rPr>
      <w:sz w:val="18"/>
      <w:szCs w:val="20"/>
    </w:rPr>
  </w:style>
  <w:style w:type="paragraph" w:styleId="Header">
    <w:name w:val="header"/>
    <w:basedOn w:val="Normal"/>
    <w:pPr>
      <w:tabs>
        <w:tab w:val="clear" w:pos="964"/>
        <w:tab w:val="center" w:pos="4678" w:leader="none"/>
        <w:tab w:val="right" w:pos="9356" w:leader="none"/>
      </w:tabs>
    </w:pPr>
    <w:rPr>
      <w:szCs w:val="20"/>
    </w:rPr>
  </w:style>
  <w:style w:type="paragraph" w:styleId="IndentParaLevel1">
    <w:name w:val="IndentParaLevel1"/>
    <w:basedOn w:val="Normal"/>
    <w:qFormat/>
    <w:pPr>
      <w:ind w:hanging="0" w:start="964" w:end="0"/>
    </w:pPr>
    <w:rPr/>
  </w:style>
  <w:style w:type="paragraph" w:styleId="IndentParaLevel2">
    <w:name w:val="IndentParaLevel2"/>
    <w:basedOn w:val="Normal"/>
    <w:qFormat/>
    <w:pPr>
      <w:ind w:hanging="0" w:start="1928" w:end="0"/>
    </w:pPr>
    <w:rPr/>
  </w:style>
  <w:style w:type="paragraph" w:styleId="IndentParaLevel3">
    <w:name w:val="IndentParaLevel3"/>
    <w:basedOn w:val="Normal"/>
    <w:qFormat/>
    <w:pPr>
      <w:ind w:hanging="0" w:start="2892" w:end="0"/>
    </w:pPr>
    <w:rPr/>
  </w:style>
  <w:style w:type="paragraph" w:styleId="IndentParaLevel4">
    <w:name w:val="IndentParaLevel4"/>
    <w:basedOn w:val="Normal"/>
    <w:qFormat/>
    <w:pPr>
      <w:ind w:hanging="0" w:start="3856" w:end="0"/>
    </w:pPr>
    <w:rPr/>
  </w:style>
  <w:style w:type="paragraph" w:styleId="IndentParaLevel5">
    <w:name w:val="IndentParaLevel5"/>
    <w:basedOn w:val="Normal"/>
    <w:qFormat/>
    <w:pPr>
      <w:ind w:hanging="0" w:start="4820" w:end="0"/>
    </w:pPr>
    <w:rPr/>
  </w:style>
  <w:style w:type="paragraph" w:styleId="IndentParaLevel6">
    <w:name w:val="IndentParaLevel6"/>
    <w:basedOn w:val="Normal"/>
    <w:qFormat/>
    <w:pPr>
      <w:ind w:hanging="0" w:start="5783" w:end="0"/>
    </w:pPr>
    <w:rPr/>
  </w:style>
  <w:style w:type="paragraph" w:styleId="Index1">
    <w:name w:val="index 1"/>
    <w:basedOn w:val="Normal"/>
    <w:next w:val="Normal"/>
    <w:pPr>
      <w:ind w:hanging="964" w:start="964" w:end="0"/>
    </w:pPr>
    <w:rPr/>
  </w:style>
  <w:style w:type="paragraph" w:styleId="Index2">
    <w:name w:val="index 2"/>
    <w:basedOn w:val="Normal"/>
    <w:next w:val="Normal"/>
    <w:pPr>
      <w:ind w:hanging="964" w:start="1928" w:end="0"/>
    </w:pPr>
    <w:rPr/>
  </w:style>
  <w:style w:type="paragraph" w:styleId="ListBullet">
    <w:name w:val="List Bullet"/>
    <w:basedOn w:val="Normal"/>
    <w:qFormat/>
    <w:pPr>
      <w:numPr>
        <w:ilvl w:val="0"/>
        <w:numId w:val="6"/>
      </w:numPr>
      <w:tabs>
        <w:tab w:val="clear" w:pos="964"/>
      </w:tabs>
      <w:ind w:hanging="964" w:start="964" w:end="0"/>
    </w:pPr>
    <w:rPr/>
  </w:style>
  <w:style w:type="paragraph" w:styleId="ListBullet2">
    <w:name w:val="List Bullet 2"/>
    <w:basedOn w:val="Normal"/>
    <w:qFormat/>
    <w:pPr>
      <w:numPr>
        <w:ilvl w:val="0"/>
        <w:numId w:val="5"/>
      </w:numPr>
      <w:tabs>
        <w:tab w:val="clear" w:pos="964"/>
      </w:tabs>
      <w:ind w:hanging="964" w:start="1928" w:end="0"/>
    </w:pPr>
    <w:rPr/>
  </w:style>
  <w:style w:type="paragraph" w:styleId="ListBullet3">
    <w:name w:val="List Bullet 3"/>
    <w:basedOn w:val="Normal"/>
    <w:qFormat/>
    <w:pPr>
      <w:numPr>
        <w:ilvl w:val="0"/>
        <w:numId w:val="4"/>
      </w:numPr>
      <w:tabs>
        <w:tab w:val="clear" w:pos="964"/>
      </w:tabs>
      <w:ind w:hanging="964" w:start="2892" w:end="0"/>
    </w:pPr>
    <w:rPr/>
  </w:style>
  <w:style w:type="paragraph" w:styleId="ListBullet4">
    <w:name w:val="List Bullet 4"/>
    <w:basedOn w:val="Normal"/>
    <w:qFormat/>
    <w:pPr>
      <w:numPr>
        <w:ilvl w:val="0"/>
        <w:numId w:val="3"/>
      </w:numPr>
      <w:tabs>
        <w:tab w:val="clear" w:pos="964"/>
      </w:tabs>
      <w:ind w:hanging="964" w:start="3856" w:end="0"/>
    </w:pPr>
    <w:rPr/>
  </w:style>
  <w:style w:type="paragraph" w:styleId="ListBullet5">
    <w:name w:val="List Bullet 5"/>
    <w:basedOn w:val="Normal"/>
    <w:qFormat/>
    <w:pPr>
      <w:numPr>
        <w:ilvl w:val="0"/>
        <w:numId w:val="2"/>
      </w:numPr>
      <w:tabs>
        <w:tab w:val="clear" w:pos="964"/>
      </w:tabs>
      <w:ind w:hanging="964" w:start="4820" w:end="0"/>
    </w:pPr>
    <w:rPr/>
  </w:style>
  <w:style w:type="paragraph" w:styleId="Recital">
    <w:name w:val="Recital"/>
    <w:basedOn w:val="Normal"/>
    <w:qFormat/>
    <w:pPr>
      <w:numPr>
        <w:ilvl w:val="0"/>
        <w:numId w:val="8"/>
      </w:numPr>
      <w:tabs>
        <w:tab w:val="clear" w:pos="964"/>
      </w:tabs>
      <w:ind w:hanging="0" w:start="964" w:end="0"/>
    </w:pPr>
    <w:rPr/>
  </w:style>
  <w:style w:type="paragraph" w:styleId="Schedule1">
    <w:name w:val="Schedule_1"/>
    <w:basedOn w:val="Normal"/>
    <w:next w:val="Normal"/>
    <w:qFormat/>
    <w:pPr>
      <w:keepNext w:val="true"/>
      <w:numPr>
        <w:ilvl w:val="0"/>
        <w:numId w:val="7"/>
      </w:numPr>
      <w:pBdr>
        <w:top w:val="single" w:sz="12" w:space="1" w:color="000000"/>
      </w:pBdr>
    </w:pPr>
    <w:rPr>
      <w:rFonts w:ascii="Arial" w:hAnsi="Arial" w:cs="Arial"/>
      <w:b/>
      <w:sz w:val="28"/>
    </w:rPr>
  </w:style>
  <w:style w:type="paragraph" w:styleId="Schedule2">
    <w:name w:val="Schedule_2"/>
    <w:basedOn w:val="Normal"/>
    <w:next w:val="Normal"/>
    <w:qFormat/>
    <w:pPr>
      <w:keepNext w:val="true"/>
      <w:numPr>
        <w:ilvl w:val="0"/>
        <w:numId w:val="7"/>
      </w:numPr>
    </w:pPr>
    <w:rPr>
      <w:rFonts w:ascii="Arial" w:hAnsi="Arial" w:cs="Arial"/>
      <w:b/>
      <w:sz w:val="24"/>
    </w:rPr>
  </w:style>
  <w:style w:type="paragraph" w:styleId="Schedule3">
    <w:name w:val="Schedule_3"/>
    <w:basedOn w:val="Normal"/>
    <w:qFormat/>
    <w:pPr>
      <w:numPr>
        <w:ilvl w:val="0"/>
        <w:numId w:val="7"/>
      </w:numPr>
    </w:pPr>
    <w:rPr/>
  </w:style>
  <w:style w:type="paragraph" w:styleId="Schedule4">
    <w:name w:val="Schedule_4"/>
    <w:basedOn w:val="Normal"/>
    <w:qFormat/>
    <w:pPr>
      <w:numPr>
        <w:ilvl w:val="0"/>
        <w:numId w:val="7"/>
      </w:numPr>
    </w:pPr>
    <w:rPr/>
  </w:style>
  <w:style w:type="paragraph" w:styleId="Schedule5">
    <w:name w:val="Schedule_5"/>
    <w:basedOn w:val="Normal"/>
    <w:qFormat/>
    <w:pPr>
      <w:numPr>
        <w:ilvl w:val="0"/>
        <w:numId w:val="7"/>
      </w:numPr>
    </w:pPr>
    <w:rPr/>
  </w:style>
  <w:style w:type="paragraph" w:styleId="Schedule6">
    <w:name w:val="Schedule_6"/>
    <w:basedOn w:val="Normal"/>
    <w:qFormat/>
    <w:pPr>
      <w:numPr>
        <w:ilvl w:val="0"/>
        <w:numId w:val="7"/>
      </w:numPr>
    </w:pPr>
    <w:rPr/>
  </w:style>
  <w:style w:type="paragraph" w:styleId="Schedule7">
    <w:name w:val="Schedule_7"/>
    <w:basedOn w:val="Normal"/>
    <w:qFormat/>
    <w:pPr>
      <w:numPr>
        <w:ilvl w:val="0"/>
        <w:numId w:val="7"/>
      </w:numPr>
    </w:pPr>
    <w:rPr/>
  </w:style>
  <w:style w:type="paragraph" w:styleId="Schedule8">
    <w:name w:val="Schedule_8"/>
    <w:basedOn w:val="Normal"/>
    <w:qFormat/>
    <w:pPr>
      <w:numPr>
        <w:ilvl w:val="0"/>
        <w:numId w:val="7"/>
      </w:numPr>
    </w:pPr>
    <w:rPr/>
  </w:style>
  <w:style w:type="paragraph" w:styleId="Subtitle">
    <w:name w:val="Subtitle"/>
    <w:basedOn w:val="Normal"/>
    <w:next w:val="BodyText"/>
    <w:qFormat/>
    <w:pPr/>
    <w:rPr>
      <w:rFonts w:ascii="Arial" w:hAnsi="Arial" w:cs="Arial"/>
      <w:b/>
      <w:sz w:val="24"/>
    </w:rPr>
  </w:style>
  <w:style w:type="paragraph" w:styleId="SubtitleTNR">
    <w:name w:val="Subtitle_TNR"/>
    <w:basedOn w:val="Normal"/>
    <w:qFormat/>
    <w:pPr/>
    <w:rPr>
      <w:b/>
      <w:sz w:val="24"/>
    </w:rPr>
  </w:style>
  <w:style w:type="paragraph" w:styleId="TableText">
    <w:name w:val="TableText"/>
    <w:basedOn w:val="Normal"/>
    <w:qFormat/>
    <w:pPr>
      <w:spacing w:before="0" w:after="0"/>
    </w:pPr>
    <w:rPr/>
  </w:style>
  <w:style w:type="paragraph" w:styleId="TitleTNR">
    <w:name w:val="Title_TNR"/>
    <w:basedOn w:val="Normal"/>
    <w:qFormat/>
    <w:pPr/>
    <w:rPr>
      <w:rFonts w:cs="Arial"/>
      <w:b/>
      <w:bCs/>
      <w:sz w:val="28"/>
      <w:szCs w:val="32"/>
    </w:rPr>
  </w:style>
  <w:style w:type="paragraph" w:styleId="TOCHeader">
    <w:name w:val="TOCHeader"/>
    <w:basedOn w:val="Normal"/>
    <w:qFormat/>
    <w:pPr/>
    <w:rPr>
      <w:rFonts w:ascii="Arial" w:hAnsi="Arial" w:cs="Arial"/>
      <w:b/>
      <w:sz w:val="24"/>
    </w:rPr>
  </w:style>
  <w:style w:type="paragraph" w:styleId="EndnoteText">
    <w:name w:val="endnote text"/>
    <w:basedOn w:val="Normal"/>
    <w:pPr/>
    <w:rPr>
      <w:sz w:val="20"/>
      <w:szCs w:val="20"/>
    </w:rPr>
  </w:style>
  <w:style w:type="paragraph" w:styleId="FootnoteText">
    <w:name w:val="footnote text"/>
    <w:basedOn w:val="Normal"/>
    <w:pPr/>
    <w:rPr>
      <w:sz w:val="20"/>
      <w:szCs w:val="20"/>
    </w:rPr>
  </w:style>
  <w:style w:type="paragraph" w:styleId="Index3">
    <w:name w:val="index 3"/>
    <w:basedOn w:val="Normal"/>
    <w:next w:val="Normal"/>
    <w:pPr>
      <w:ind w:hanging="220" w:start="660" w:end="0"/>
    </w:pPr>
    <w:rPr/>
  </w:style>
  <w:style w:type="paragraph" w:styleId="Index4">
    <w:name w:val="Index 4"/>
    <w:basedOn w:val="Normal"/>
    <w:next w:val="Normal"/>
    <w:qFormat/>
    <w:pPr>
      <w:ind w:hanging="220" w:start="880" w:end="0"/>
    </w:pPr>
    <w:rPr/>
  </w:style>
  <w:style w:type="paragraph" w:styleId="Index5">
    <w:name w:val="Index 5"/>
    <w:basedOn w:val="Normal"/>
    <w:next w:val="Normal"/>
    <w:qFormat/>
    <w:pPr>
      <w:ind w:hanging="220" w:start="1100" w:end="0"/>
    </w:pPr>
    <w:rPr/>
  </w:style>
  <w:style w:type="paragraph" w:styleId="Index6">
    <w:name w:val="Index 6"/>
    <w:basedOn w:val="Normal"/>
    <w:next w:val="Normal"/>
    <w:qFormat/>
    <w:pPr>
      <w:ind w:hanging="220" w:start="1320" w:end="0"/>
    </w:pPr>
    <w:rPr/>
  </w:style>
  <w:style w:type="paragraph" w:styleId="Index7">
    <w:name w:val="Index 7"/>
    <w:basedOn w:val="Normal"/>
    <w:next w:val="Normal"/>
    <w:qFormat/>
    <w:pPr>
      <w:ind w:hanging="220" w:start="1540" w:end="0"/>
    </w:pPr>
    <w:rPr/>
  </w:style>
  <w:style w:type="paragraph" w:styleId="Index8">
    <w:name w:val="Index 8"/>
    <w:basedOn w:val="Normal"/>
    <w:next w:val="Normal"/>
    <w:qFormat/>
    <w:pPr>
      <w:ind w:hanging="220" w:start="1760" w:end="0"/>
    </w:pPr>
    <w:rPr/>
  </w:style>
  <w:style w:type="paragraph" w:styleId="Index9">
    <w:name w:val="Index 9"/>
    <w:basedOn w:val="Normal"/>
    <w:next w:val="Normal"/>
    <w:qFormat/>
    <w:pPr>
      <w:ind w:hanging="220" w:start="1980" w:end="0"/>
    </w:pPr>
    <w:rPr/>
  </w:style>
  <w:style w:type="paragraph" w:styleId="IndexHeading">
    <w:name w:val="index heading"/>
    <w:basedOn w:val="Normal"/>
    <w:next w:val="Index1"/>
    <w:pPr/>
    <w:rPr/>
  </w:style>
  <w:style w:type="paragraph" w:styleId="TableofAuthorities">
    <w:name w:val="Table of Authorities"/>
    <w:basedOn w:val="Normal"/>
    <w:next w:val="Normal"/>
    <w:qFormat/>
    <w:pPr>
      <w:ind w:hanging="220" w:start="220" w:end="0"/>
    </w:pPr>
    <w:rPr/>
  </w:style>
  <w:style w:type="paragraph" w:styleId="TOAHeading">
    <w:name w:val="TOA Heading"/>
    <w:basedOn w:val="Normal"/>
    <w:next w:val="Normal"/>
    <w:qFormat/>
    <w:pPr>
      <w:spacing w:before="120" w:after="0"/>
    </w:pPr>
    <w:rPr>
      <w:rFonts w:ascii="Arial" w:hAnsi="Arial" w:cs="Arial"/>
      <w:b/>
      <w:bCs/>
    </w:rPr>
  </w:style>
  <w:style w:type="paragraph" w:styleId="ListNumber7">
    <w:name w:val="List Number 7"/>
    <w:basedOn w:val="Normal"/>
    <w:qFormat/>
    <w:pPr>
      <w:numPr>
        <w:ilvl w:val="0"/>
        <w:numId w:val="5"/>
      </w:numPr>
    </w:pPr>
    <w:rPr>
      <w:lang w:bidi="he-I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2001-11-28T10:54:00Z</dcterms:created>
  <dc:creator>Clayton Utz</dc:creator>
  <dc:description/>
  <dc:language>en-CA</dc:language>
  <cp:lastModifiedBy>dminns</cp:lastModifiedBy>
  <cp:lastPrinted>2001-03-20T14:23:00Z</cp:lastPrinted>
  <dcterms:modified xsi:type="dcterms:W3CDTF">2001-11-28T18:40:00Z</dcterms:modified>
  <cp:revision>3</cp:revision>
  <dc:subject/>
  <dc:title>LIMITED POWER OF ATTORNEY</dc:title>
</cp:coreProperties>
</file>