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simulation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Clustering for power: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separately for peak and off-peak;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reduces the number of main curves;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identifies highly correlated curves;</w:t>
      </w:r>
    </w:p>
    <w:p>
      <w:pPr>
        <w:pStyle w:val="Normal"/>
        <w:ind w:start="36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Jump-diffusion price process: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probability of jumps – impossible to estimate from historical data, should be postulated;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suggestion: for each cluster postulate the jump probability and estimate 4 parameters: jump size mean, jump size variance, diffusion mean, diffusion variance. Put 2 constrains in the optimization routine to match 2 moments of the empirical distribution;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jumps for intramonth and prompt prices only;</w:t>
      </w:r>
    </w:p>
    <w:p>
      <w:pPr>
        <w:pStyle w:val="Normal"/>
        <w:ind w:start="36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Correlations implementation: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beyond prompt month: perfect correlation of forward prices across members of a cluter;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for intramonth and prompt prices: 3 different types of correlations: for diffusion parts, for events of jumps, for jump sizes;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Suggestion: within each cluster events of jumps arrive simultaneously, jump sizes are correlated according to historical evidence, diffusion parts are perfectly correlated;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Across clusters jumps arrive independently, diffusion parts are correlated according to historical data;</w:t>
      </w:r>
      <w:r>
        <w:br w:type="page"/>
      </w:r>
    </w:p>
    <w:p>
      <w:pPr>
        <w:pStyle w:val="Normal"/>
        <w:ind w:start="360" w:end="0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  <w:t>Results of clustering for prompt month power peak prices:</w:t>
      </w:r>
    </w:p>
    <w:p>
      <w:pPr>
        <w:pStyle w:val="Normal"/>
        <w:ind w:start="360" w:end="0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tbl>
      <w:tblPr>
        <w:tblW w:w="773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010"/>
        <w:gridCol w:w="379"/>
        <w:gridCol w:w="632"/>
        <w:gridCol w:w="379"/>
        <w:gridCol w:w="283"/>
        <w:gridCol w:w="1010"/>
        <w:gridCol w:w="1011"/>
        <w:gridCol w:w="1010"/>
      </w:tblGrid>
      <w:tr>
        <w:trPr>
          <w:trHeight w:val="257" w:hRule="atLeast"/>
        </w:trPr>
        <w:tc>
          <w:tcPr>
            <w:tcW w:w="4042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4704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DATA SET: 9-OCT-2000  -  9-JAN-2001  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 clusters: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core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member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correlation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Hedge Ratio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Error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R^2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R1A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0.908056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0.721938967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0.635503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0.364497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R1E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0.908056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0.779653861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0.529983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0.470017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R1C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0.899149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0.663679007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0.234029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0.765971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R1H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0.825916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0.714883082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0.641134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0.358866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R1B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0.82611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0.775364989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0.53133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0.46867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R1Z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0.894576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0.91811428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0.3159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0.6841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R9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R9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R9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R8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0.996218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0.986940002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0.006921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0.993079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R9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R7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0.93373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0.308365085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0.277034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0.722966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R9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R7A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0.842984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0.331014575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0.428502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0.571498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0.999998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R3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0.979647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1.158185086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0.126409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0.873591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R3A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0.979716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1.158185086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0.126409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0.873591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R3B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0.97943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1.158185087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0.126409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0.873591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R4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0.942916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1.109331666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0.213443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0.786557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0.942467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1.10923127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0.213481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0.786519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R2A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0.942871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1.115466838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0.207911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0.792089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R2B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0.942524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1.109231286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0.213481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0.786519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R4C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0.920309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1.081331483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0.229607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0.770393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R6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0.871562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0.44956533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0.445081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0.554919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R4B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0.819781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0.973902951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0.490365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0.509635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R5A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R4A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0.942916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0.963570563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0.499475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0.500525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0.998389365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0.003219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0.996781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0.959585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1.005926541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0.103124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0.896876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R1J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R1K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R1L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R1M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R1F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R1N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R22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R22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4" w:type="dxa"/>
            <w:gridSpan w:val="3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4"/>
        </w:rPr>
      </w:pPr>
      <w:r>
        <w:br w:type="page"/>
      </w:r>
      <w:r>
        <w:rPr>
          <w:rFonts w:cs="Tahoma" w:ascii="Tahoma" w:hAnsi="Tahoma"/>
          <w:b/>
          <w:sz w:val="24"/>
        </w:rPr>
        <w:t>Parameter estimation for jump-diffusion process</w:t>
      </w:r>
    </w:p>
    <w:p>
      <w:pPr>
        <w:pStyle w:val="Normal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 xml:space="preserve">Historical data: </w:t>
      </w:r>
    </w:p>
    <w:p>
      <w:pPr>
        <w:pStyle w:val="Normal"/>
        <w:ind w:firstLine="360" w:end="0"/>
        <w:rPr>
          <w:rFonts w:ascii="Tahoma" w:hAnsi="Tahoma" w:cs="Tahoma"/>
        </w:rPr>
      </w:pPr>
      <w:r>
        <w:rPr>
          <w:rFonts w:cs="Tahoma" w:ascii="Tahoma" w:hAnsi="Tahoma"/>
        </w:rPr>
        <w:t>spot prices for each region for 6 months</w:t>
      </w:r>
    </w:p>
    <w:p>
      <w:pPr>
        <w:pStyle w:val="Normal"/>
        <w:ind w:firstLine="36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Stochastic process: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firstLine="360" w:end="0"/>
        <w:rPr>
          <w:rFonts w:ascii="Tahoma" w:hAnsi="Tahoma" w:cs="Tahoma"/>
        </w:rPr>
      </w:pPr>
      <w:r>
        <w:rPr>
          <w:rFonts w:cs="Tahoma" w:ascii="Tahoma" w:hAnsi="Tahoma"/>
        </w:rPr>
      </w:r>
      <m:oMathPara xmlns:m="http://schemas.openxmlformats.org/officeDocument/2006/math">
        <m:oMathParaPr>
          <m:jc m:val="left"/>
        </m:oMathParaPr>
        <m:oMath>
          <m:eqArr>
            <m:e>
              <m:r>
                <m:t xml:space="preserve">P</m:t>
              </m:r>
              <m:r>
                <m:t xml:space="preserve">(</m:t>
              </m:r>
              <m:r>
                <m:t xml:space="preserve">t</m:t>
              </m:r>
              <m:r>
                <m:t xml:space="preserve">+</m:t>
              </m:r>
              <m:r>
                <m:t xml:space="preserve">τ</m:t>
              </m:r>
              <m:r>
                <m:t xml:space="preserve">)</m:t>
              </m:r>
              <m:r>
                <m:t xml:space="preserve">=</m:t>
              </m:r>
              <m:r>
                <m:t xml:space="preserve">P</m:t>
              </m:r>
              <m:r>
                <m:t xml:space="preserve">(</m:t>
              </m:r>
              <m:r>
                <m:t xml:space="preserve">t</m:t>
              </m:r>
              <m:r>
                <m:t xml:space="preserve">)</m:t>
              </m:r>
              <m:sSup>
                <m:e>
                  <m:r>
                    <m:t xml:space="preserve">e</m:t>
                  </m:r>
                </m:e>
                <m:sup>
                  <m:r>
                    <m:t xml:space="preserve">ξ</m:t>
                  </m:r>
                  <m:r>
                    <m:t xml:space="preserve">+</m:t>
                  </m:r>
                  <m:r>
                    <m:t xml:space="preserve">Yη</m:t>
                  </m:r>
                </m:sup>
              </m:sSup>
              <m:r>
                <m:t xml:space="preserve">,</m:t>
              </m:r>
            </m:e>
            <m:e>
              <m:r>
                <m:t xml:space="preserve">ξ</m:t>
              </m:r>
              <m:r>
                <m:rPr>
                  <m:lit/>
                  <m:nor/>
                </m:rPr>
                <m:t xml:space="preserve">~</m:t>
              </m:r>
              <m:r>
                <m:t xml:space="preserve">N</m:t>
              </m:r>
              <m:r>
                <m:t xml:space="preserve">(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1</m:t>
                  </m:r>
                </m:sub>
              </m:sSub>
              <m:r>
                <m:t xml:space="preserve">,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1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)</m:t>
              </m:r>
              <m:r>
                <m:t xml:space="preserve">,</m:t>
              </m:r>
            </m:e>
            <m:e>
              <m:r>
                <m:t xml:space="preserve">η</m:t>
              </m:r>
              <m:r>
                <m:rPr>
                  <m:lit/>
                  <m:nor/>
                </m:rPr>
                <m:t xml:space="preserve">~</m:t>
              </m:r>
              <m:r>
                <m:t xml:space="preserve">N</m:t>
              </m:r>
              <m:r>
                <m:t xml:space="preserve">(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2</m:t>
                  </m:r>
                </m:sub>
              </m:sSub>
              <m:r>
                <m:t xml:space="preserve">,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2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)</m:t>
              </m:r>
              <m:r>
                <m:t xml:space="preserve">,</m:t>
              </m:r>
            </m:e>
            <m:e>
              <m:r>
                <m:t xml:space="preserve">Y</m:t>
              </m:r>
              <m:r>
                <m:t xml:space="preserve">=</m:t>
              </m:r>
              <m:eqArr>
                <m:e>
                  <m:d>
                    <m:dPr>
                      <m:begChr m:val="{"/>
                      <m:endChr m:val=""/>
                    </m:dPr>
                    <m:e>
                      <m:r>
                        <m:t xml:space="preserve">1</m:t>
                      </m:r>
                      <m:r>
                        <m:t xml:space="preserve"> </m:t>
                      </m:r>
                      <m:r>
                        <m:rPr>
                          <m:lit/>
                          <m:nor/>
                        </m:rPr>
                        <m:t xml:space="preserve">with</m:t>
                      </m:r>
                      <m:r>
                        <m:t xml:space="preserve"> </m:t>
                      </m:r>
                      <m:r>
                        <m:rPr>
                          <m:lit/>
                          <m:nor/>
                        </m:rPr>
                        <m:t xml:space="preserve">probability</m:t>
                      </m:r>
                      <m:r>
                        <m:t xml:space="preserve"> </m:t>
                      </m:r>
                      <m:r>
                        <m:t xml:space="preserve">h</m:t>
                      </m:r>
                    </m:e>
                    <m:e/>
                  </m:d>
                </m:e>
              </m:eqArr>
            </m:e>
            <m:e/>
          </m:eqArr>
        </m:oMath>
      </m:oMathPara>
    </w:p>
    <w:p>
      <w:pPr>
        <w:pStyle w:val="Normal"/>
        <w:ind w:firstLine="36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Parameters estimation: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h is decides in advance,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mean and variance of empirical log-returns are matched exactly;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4 remaining parameters are estimated by maximizing log-likelihood function;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Results of estimation: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For COB (R8) based on spot prices from 9/29/00 to 3/27/01 with mean of returns equal to 0.00384 and daily standard deviation equal to 0.283 (annualized volatility 482%)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W w:w="81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262"/>
        <w:gridCol w:w="1246"/>
        <w:gridCol w:w="1452"/>
        <w:gridCol w:w="1466"/>
        <w:gridCol w:w="994"/>
        <w:gridCol w:w="1710"/>
      </w:tblGrid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mean_jump</w:t>
            </w:r>
          </w:p>
        </w:tc>
        <w:tc>
          <w:tcPr>
            <w:tcW w:w="124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stdev_jump</w:t>
            </w:r>
          </w:p>
        </w:tc>
        <w:tc>
          <w:tcPr>
            <w:tcW w:w="145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mean_diffusion</w:t>
            </w:r>
          </w:p>
        </w:tc>
        <w:tc>
          <w:tcPr>
            <w:tcW w:w="1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stdev_diffusion</w:t>
            </w:r>
          </w:p>
        </w:tc>
        <w:tc>
          <w:tcPr>
            <w:tcW w:w="99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lang w:eastAsia="en-US"/>
              </w:rPr>
              <w:t>h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Misfit (empirical  versus theoretical)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0.14918071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0.96315599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-0.00361944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0.18001546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0.09081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0.04943159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0.73389363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-0.00110357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0.160518676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0.077994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0.02927183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0.61797601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-0.00055119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0.149842426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0.074962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0.02034424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0.54587311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-0.00022926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0.142071933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0.073423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0.01457319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0.49585229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0.000196298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0.13542138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0.25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0.072133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0.00985233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0.45885775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0.000883885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0.129076064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0.070616</w:t>
            </w:r>
          </w:p>
        </w:tc>
      </w:tr>
      <w:tr>
        <w:trPr>
          <w:trHeight w:val="257" w:hRule="atLeast"/>
        </w:trPr>
        <w:tc>
          <w:tcPr>
            <w:tcW w:w="126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0.01019931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0.43149355</w:t>
            </w:r>
          </w:p>
        </w:tc>
        <w:tc>
          <w:tcPr>
            <w:tcW w:w="145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-0.00209862</w:t>
            </w:r>
          </w:p>
        </w:tc>
        <w:tc>
          <w:tcPr>
            <w:tcW w:w="146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0.119911432</w:t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0.35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0.067312</w:t>
            </w:r>
          </w:p>
        </w:tc>
      </w:tr>
    </w:tbl>
    <w:p>
      <w:pPr>
        <w:pStyle w:val="Normal"/>
        <w:numPr>
          <w:ilvl w:val="0"/>
          <w:numId w:val="0"/>
        </w:numPr>
        <w:rPr>
          <w:rFonts w:ascii="Tahoma" w:hAnsi="Tahoma" w:cs="Tahoma"/>
          <w:b/>
        </w:rPr>
      </w:pPr>
      <w:r>
        <w:br w:type="page"/>
      </w:r>
      <w:r>
        <w:rPr>
          <w:rFonts w:cs="Tahoma" w:ascii="Tahoma" w:hAnsi="Tahoma"/>
          <w:b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-90805</wp:posOffset>
            </wp:positionH>
            <wp:positionV relativeFrom="paragraph">
              <wp:posOffset>-914400</wp:posOffset>
            </wp:positionV>
            <wp:extent cx="5668010" cy="62198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621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rFonts w:ascii="Tahoma" w:hAnsi="Tahoma" w:cs="Tahoma"/>
          <w:b/>
          <w:lang w:val="en-CA"/>
        </w:rPr>
      </w:pPr>
      <w:r>
        <w:rPr>
          <w:rFonts w:cs="Tahoma" w:ascii="Tahoma" w:hAnsi="Tahoma"/>
          <w:b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-90805</wp:posOffset>
            </wp:positionH>
            <wp:positionV relativeFrom="paragraph">
              <wp:posOffset>-914400</wp:posOffset>
            </wp:positionV>
            <wp:extent cx="5668010" cy="6219825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621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773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010"/>
        <w:gridCol w:w="1011"/>
        <w:gridCol w:w="379"/>
        <w:gridCol w:w="1293"/>
        <w:gridCol w:w="1011"/>
        <w:gridCol w:w="1010"/>
      </w:tblGrid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79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ind w:start="360" w:end="0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2001-03-27T19:41:00Z</dcterms:created>
  <dc:creator>ttamarc</dc:creator>
  <dc:description/>
  <dc:language>en-CA</dc:language>
  <cp:lastModifiedBy>ttamarc</cp:lastModifiedBy>
  <dcterms:modified xsi:type="dcterms:W3CDTF">2001-03-29T17:05:00Z</dcterms:modified>
  <cp:revision>6</cp:revision>
  <dc:subject/>
  <dc:title>Power simulation</dc:title>
</cp:coreProperties>
</file>