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p>
      <w:pPr>
        <w:sectPr>
          <w:headerReference w:type="default" r:id="rId2"/>
          <w:footerReference w:type="default" r:id="rId3"/>
          <w:type w:val="continuous"/>
          <w:pgSz w:w="12240" w:h="15840"/>
          <w:pgMar w:left="1152" w:right="864" w:gutter="0" w:header="720" w:top="864" w:footer="720" w:bottom="864"/>
          <w:cols w:num="2" w:space="708" w:equalWidth="true" w:sep="false"/>
          <w:formProt w:val="false"/>
          <w:textDirection w:val="lrTb"/>
          <w:docGrid w:type="default" w:linePitch="360" w:charSpace="0"/>
        </w:sectPr>
      </w:pP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Exelon Generation Company, LLC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(610) 765-7603</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795470.01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pPr>
      <w:r>
        <w:rPr/>
        <w:t>General Terms:</w:t>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100</w:t>
            </w:r>
            <w:r>
              <w:rPr>
                <w:sz w:val="22"/>
              </w:rPr>
              <w:fldChar w:fldCharType="end"/>
            </w:r>
            <w:r>
              <w:rPr/>
              <w:t xml:space="preserve"> </w:t>
            </w:r>
            <w:r>
              <w:rPr>
                <w:sz w:val="22"/>
              </w:rPr>
              <w:t>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September 28,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October 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ind w:start="-18" w:end="0"/>
              <w:jc w:val="both"/>
              <w:rPr/>
            </w:pPr>
            <w:r>
              <w:rPr>
                <w:sz w:val="22"/>
              </w:rPr>
              <w:fldChar w:fldCharType="begin"/>
            </w:r>
            <w:r>
              <w:rPr>
                <w:sz w:val="22"/>
              </w:rPr>
              <w:instrText xml:space="preserve"> MERGEFIELD Term </w:instrText>
            </w:r>
            <w:r>
              <w:rPr>
                <w:sz w:val="22"/>
              </w:rPr>
              <w:fldChar w:fldCharType="separate"/>
            </w:r>
            <w:r>
              <w:rPr>
                <w:sz w:val="22"/>
              </w:rPr>
              <w:t xml:space="preserve">Monday, October 1, 2001 through Monday, December 31, 2001. </w:t>
            </w:r>
            <w:r>
              <w:rPr>
                <w:sz w:val="22"/>
              </w:rPr>
              <w:fldChar w:fldCharType="end"/>
            </w:r>
            <w:r>
              <w:rPr>
                <w:sz w:val="22"/>
                <w:lang w:val="en-CA" w:eastAsia="en-CA"/>
              </w:rPr>
              <w:t xml:space="preserve">Hour Ending (HE) 0100 through HE 0700 and HE 2400 </w:t>
            </w:r>
          </w:p>
          <w:p>
            <w:pPr>
              <w:pStyle w:val="Normal"/>
              <w:jc w:val="both"/>
              <w:rPr/>
            </w:pPr>
            <w:r>
              <w:rPr>
                <w:sz w:val="22"/>
                <w:lang w:val="en-CA" w:eastAsia="en-CA"/>
              </w:rPr>
              <w:t>(8 Hours each day), Monday through Friday only; HE 0100 through HE 2400 (24 Hours each day), Sunday, Saturday and Holidays of the North American Electric Reliability Council only; Eastern Prevailing Time.</w:t>
            </w:r>
            <w:r>
              <w:rPr>
                <w:sz w:val="22"/>
              </w:rPr>
              <w:t xml:space="preserve">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The fifth (5th) Business Day following the last day of the month that includes the Determination Period.</w:t>
            </w:r>
          </w:p>
        </w:tc>
      </w:tr>
    </w:tbl>
    <w:p>
      <w:pPr>
        <w:pStyle w:val="Normal"/>
        <w:rPr>
          <w:b/>
          <w:sz w:val="22"/>
        </w:rPr>
      </w:pPr>
      <w:r>
        <w:rPr>
          <w:b/>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ENA</w:t>
      </w:r>
      <w:r>
        <w:rPr>
          <w:sz w:val="22"/>
        </w:rPr>
        <w:fldChar w:fldCharType="end"/>
      </w:r>
    </w:p>
    <w:p>
      <w:pPr>
        <w:pStyle w:val="Normal"/>
        <w:jc w:val="both"/>
        <w:rPr>
          <w:sz w:val="22"/>
        </w:rPr>
      </w:pPr>
      <w:r>
        <w:rPr>
          <w:sz w:val="22"/>
        </w:rPr>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$19.00/MWh.</w:t>
            </w:r>
            <w:r>
              <w:rPr>
                <w:sz w:val="22"/>
              </w:rPr>
              <w:fldChar w:fldCharType="end"/>
            </w:r>
          </w:p>
        </w:tc>
      </w:tr>
    </w:tbl>
    <w:p>
      <w:pPr>
        <w:pStyle w:val="Normal"/>
        <w:rPr>
          <w:b/>
          <w:sz w:val="22"/>
        </w:rPr>
      </w:pPr>
      <w:r>
        <w:rPr>
          <w:b/>
          <w:sz w:val="22"/>
        </w:rPr>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Counterparty</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prices as published by PJM Interconnection, LLC (“PJM”) on PJM’s official web site currently located at ftp://www.pjm.com/pub/account/lmp/index.html, or any successor thereto, under the headings “PJM - Daily Real-Time Locational Marginal Pricing Files; Western Hub” for electricity delivered during the applicable hours for the applicable Determination Period.</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Exelon Generation Company, LLC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October 08,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Heading1"/>
        <w:ind w:hanging="0" w:start="0"/>
        <w:jc w:val="start"/>
        <w:rPr>
          <w:b w:val="false"/>
          <w:sz w:val="20"/>
        </w:rPr>
      </w:pPr>
      <w:r>
        <w:rPr>
          <w:b w:val="false"/>
          <w:sz w:val="20"/>
        </w:rPr>
      </w:r>
    </w:p>
    <w:p>
      <w:pPr>
        <w:pStyle w:val="Normal"/>
        <w:rPr>
          <w:sz w:val="20"/>
        </w:rPr>
      </w:pPr>
      <w:r>
        <w:rPr>
          <w:sz w:val="20"/>
        </w:rPr>
      </w:r>
    </w:p>
    <w:p>
      <w:pPr>
        <w:pStyle w:val="Heading1"/>
        <w:ind w:hanging="0" w:start="0"/>
        <w:rPr>
          <w:sz w:val="20"/>
        </w:rPr>
      </w:pPr>
      <w:r>
        <w:rPr>
          <w:sz w:val="20"/>
        </w:rPr>
      </w:r>
    </w:p>
    <w:p>
      <w:pPr>
        <w:pStyle w:val="Heading1"/>
        <w:ind w:hanging="0" w:start="0"/>
        <w:rPr>
          <w:sz w:val="20"/>
        </w:rPr>
      </w:pPr>
      <w:r>
        <w:rPr>
          <w:sz w:val="20"/>
        </w:rPr>
      </w:r>
    </w:p>
    <w:p>
      <w:pPr>
        <w:pStyle w:val="Heading1"/>
        <w:ind w:hanging="0" w:start="0"/>
        <w:rPr>
          <w:sz w:val="20"/>
        </w:rPr>
      </w:pPr>
      <w:r>
        <w:rPr>
          <w:sz w:val="20"/>
        </w:rPr>
        <w:t>ANNEX A</w:t>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center"/>
        <w:rPr>
          <w:b/>
          <w:sz w:val="20"/>
          <w:u w:val="single"/>
        </w:rPr>
      </w:pPr>
      <w:r>
        <w:rPr>
          <w:b/>
          <w:sz w:val="20"/>
          <w:u w:val="single"/>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Heading2"/>
        <w:ind w:hanging="0" w:start="0"/>
        <w:rPr/>
      </w:pPr>
      <w:r>
        <w:rPr/>
        <w:t>GENERAL TERMS AND CONDITIONS</w:t>
      </w:r>
    </w:p>
    <w:p>
      <w:pPr>
        <w:pStyle w:val="Normal"/>
        <w:rPr/>
      </w:pPr>
      <w:r>
        <w:rPr/>
      </w:r>
    </w:p>
    <w:p>
      <w:pPr>
        <w:pStyle w:val="Normal"/>
        <w:rPr/>
      </w:pPr>
      <w:r>
        <w:rPr/>
      </w:r>
    </w:p>
    <w:p>
      <w:pPr>
        <w:sectPr>
          <w:type w:val="continuous"/>
          <w:pgSz w:w="12240" w:h="15840"/>
          <w:pgMar w:left="1152" w:right="864" w:gutter="0" w:header="720" w:top="864" w:footer="720" w:bottom="864"/>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sz w:val="20"/>
      </w:rPr>
    </w:pPr>
    <w:r>
      <w:rPr/>
      <w:tab/>
      <w:tab/>
      <w:tab/>
    </w:r>
  </w:p>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795470.01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2001-10-08T15:37:00Z</dcterms:created>
  <dc:creator>ECT</dc:creator>
  <dc:description/>
  <dc:language>en-CA</dc:language>
  <cp:lastModifiedBy>khundl</cp:lastModifiedBy>
  <dcterms:modified xsi:type="dcterms:W3CDTF">2001-10-08T15:37:00Z</dcterms:modified>
  <cp:revision>2</cp:revision>
  <dc:subject/>
  <dc:title>795470.01</dc:title>
</cp:coreProperties>
</file>