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ind w:end="-108"/>
        <w:rPr>
          <w:rFonts w:ascii="Arial" w:hAnsi="Arial" w:cs="Arial"/>
          <w:sz w:val="22"/>
        </w:rPr>
      </w:pPr>
      <w:r>
        <w:rPr>
          <w:rFonts w:cs="Arial" w:ascii="Arial" w:hAnsi="Arial"/>
          <w:sz w:val="22"/>
        </w:rPr>
      </w:r>
    </w:p>
    <w:p>
      <w:pPr>
        <w:pStyle w:val="Normal"/>
        <w:ind w:end="-108"/>
        <w:rPr/>
      </w:pPr>
      <w:r>
        <w:rPr/>
      </w:r>
    </w:p>
    <w:p>
      <w:pPr>
        <w:pStyle w:val="Normal"/>
        <w:rPr/>
      </w:pPr>
      <w:r>
        <w:rPr/>
        <w:object w:dxaOrig="1920" w:dyaOrig="190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6pt;height:95.2pt" filled="f" o:ole="">
            <v:imagedata r:id="rId3" o:title=""/>
          </v:shape>
          <o:OLEObject Type="Embed" ProgID="" ShapeID="ole_rId2" DrawAspect="Content" ObjectID="_6016689" r:id="rId2"/>
        </w:objec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p>
      <w:pPr>
        <w:pStyle w:val="Normal"/>
        <w:jc w:val="end"/>
        <w:rPr>
          <w:rFonts w:ascii="Times New Roman" w:hAnsi="Times New Roman" w:cs="Times New Roman"/>
          <w:b/>
        </w:rPr>
      </w:pPr>
      <w:r>
        <w:rPr>
          <w:rFonts w:cs="Times New Roman" w:ascii="Times New Roman" w:hAnsi="Times New Roman"/>
          <w:b/>
        </w:rPr>
        <w:t>Via E-mail</w:t>
      </w:r>
    </w:p>
    <w:p>
      <w:pPr>
        <w:pStyle w:val="Normal"/>
        <w:jc w:val="end"/>
        <w:rPr>
          <w:rFonts w:ascii="Times New Roman" w:hAnsi="Times New Roman" w:cs="Times New Roman"/>
          <w:b/>
        </w:rPr>
      </w:pPr>
      <w:r>
        <w:rPr>
          <w:rFonts w:cs="Times New Roman" w:ascii="Times New Roman" w:hAnsi="Times New Roman"/>
          <w:b/>
        </w:rPr>
        <w:tab/>
        <w:t>(Original Via Mail)</w:t>
      </w:r>
    </w:p>
    <w:p>
      <w:pPr>
        <w:pStyle w:val="Normal"/>
        <w:tabs>
          <w:tab w:val="clear" w:pos="720"/>
          <w:tab w:val="left" w:pos="1440" w:leader="none"/>
          <w:tab w:val="left" w:pos="2160" w:leader="none"/>
          <w:tab w:val="left" w:pos="5280" w:leader="none"/>
          <w:tab w:val="left" w:pos="5472" w:leader="none"/>
          <w:tab w:val="left" w:pos="64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Times New Roman" w:hAnsi="Times New Roman" w:cs="Times New Roman"/>
        </w:rPr>
      </w:pPr>
      <w:r>
        <w:rPr>
          <w:rFonts w:cs="Times New Roman" w:ascii="Times New Roman" w:hAnsi="Times New Roman"/>
        </w:rPr>
        <w:t>Mr. F.M. (Maury) Parsons</w:t>
      </w:r>
    </w:p>
    <w:p>
      <w:pPr>
        <w:pStyle w:val="Normal"/>
        <w:tabs>
          <w:tab w:val="clear" w:pos="720"/>
          <w:tab w:val="left" w:pos="1440" w:leader="none"/>
          <w:tab w:val="left" w:pos="2160" w:leader="none"/>
          <w:tab w:val="left" w:pos="5280" w:leader="none"/>
          <w:tab w:val="left" w:pos="5472" w:leader="none"/>
          <w:tab w:val="left" w:pos="6480" w:leader="none"/>
        </w:tabs>
        <w:jc w:val="both"/>
        <w:rPr>
          <w:rFonts w:ascii="Times New Roman" w:hAnsi="Times New Roman" w:cs="Times New Roman"/>
        </w:rPr>
      </w:pPr>
      <w:r>
        <w:rPr>
          <w:rFonts w:cs="Times New Roman" w:ascii="Times New Roman" w:hAnsi="Times New Roman"/>
        </w:rPr>
        <w:t>Chairman, Power Pool Council</w:t>
      </w:r>
    </w:p>
    <w:p>
      <w:pPr>
        <w:pStyle w:val="Normal"/>
        <w:jc w:val="both"/>
        <w:rPr>
          <w:rFonts w:ascii="Times New Roman" w:hAnsi="Times New Roman" w:cs="Times New Roman"/>
        </w:rPr>
      </w:pPr>
      <w:r>
        <w:rPr>
          <w:rFonts w:cs="Times New Roman" w:ascii="Times New Roman" w:hAnsi="Times New Roman"/>
        </w:rPr>
        <w:t>Power Pool of Alberta</w:t>
      </w:r>
    </w:p>
    <w:p>
      <w:pPr>
        <w:pStyle w:val="Normal"/>
        <w:jc w:val="both"/>
        <w:rPr>
          <w:rFonts w:ascii="Times New Roman" w:hAnsi="Times New Roman" w:cs="Times New Roman"/>
        </w:rPr>
      </w:pPr>
      <w:r>
        <w:rPr>
          <w:rFonts w:cs="Times New Roman" w:ascii="Times New Roman" w:hAnsi="Times New Roman"/>
        </w:rPr>
        <w:t>McFarlane Tower</w:t>
      </w:r>
    </w:p>
    <w:p>
      <w:pPr>
        <w:pStyle w:val="Normal"/>
        <w:jc w:val="both"/>
        <w:rPr/>
      </w:pPr>
      <w:r>
        <w:rPr>
          <w:rFonts w:cs="Times New Roman" w:ascii="Times New Roman" w:hAnsi="Times New Roman"/>
        </w:rPr>
        <w:t>1800, 700 – 4</w:t>
      </w:r>
      <w:r>
        <w:rPr>
          <w:rFonts w:cs="Times New Roman" w:ascii="Times New Roman" w:hAnsi="Times New Roman"/>
          <w:vertAlign w:val="superscript"/>
        </w:rPr>
        <w:t>th</w:t>
      </w:r>
      <w:r>
        <w:rPr>
          <w:rFonts w:cs="Times New Roman" w:ascii="Times New Roman" w:hAnsi="Times New Roman"/>
        </w:rPr>
        <w:t xml:space="preserve"> Avenue S.W.</w:t>
      </w:r>
    </w:p>
    <w:p>
      <w:pPr>
        <w:pStyle w:val="Normal"/>
        <w:jc w:val="both"/>
        <w:rPr>
          <w:rFonts w:ascii="Times New Roman" w:hAnsi="Times New Roman" w:cs="Times New Roman"/>
        </w:rPr>
      </w:pPr>
      <w:r>
        <w:rPr>
          <w:rFonts w:cs="Times New Roman" w:ascii="Times New Roman" w:hAnsi="Times New Roman"/>
        </w:rPr>
        <w:t>Calgary, Alberta</w:t>
      </w:r>
    </w:p>
    <w:p>
      <w:pPr>
        <w:pStyle w:val="Normal"/>
        <w:tabs>
          <w:tab w:val="clear" w:pos="720"/>
          <w:tab w:val="left" w:pos="1440" w:leader="none"/>
          <w:tab w:val="left" w:pos="2160" w:leader="none"/>
          <w:tab w:val="left" w:pos="5280" w:leader="none"/>
          <w:tab w:val="left" w:pos="5472" w:leader="none"/>
          <w:tab w:val="left" w:pos="6480" w:leader="none"/>
        </w:tabs>
        <w:jc w:val="both"/>
        <w:rPr>
          <w:rFonts w:ascii="Times New Roman" w:hAnsi="Times New Roman" w:cs="Times New Roman"/>
        </w:rPr>
      </w:pPr>
      <w:r>
        <w:rPr>
          <w:rFonts w:cs="Times New Roman" w:ascii="Times New Roman" w:hAnsi="Times New Roman"/>
        </w:rPr>
        <w:t>T2P 3J4</w:t>
      </w:r>
    </w:p>
    <w:p>
      <w:pPr>
        <w:pStyle w:val="Normal"/>
        <w:tabs>
          <w:tab w:val="clear" w:pos="720"/>
          <w:tab w:val="left" w:pos="1440" w:leader="none"/>
          <w:tab w:val="left" w:pos="2160" w:leader="none"/>
          <w:tab w:val="left" w:pos="5280" w:leader="none"/>
          <w:tab w:val="left" w:pos="5472" w:leader="none"/>
          <w:tab w:val="left" w:pos="648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Dear Mr. Parsons:</w:t>
      </w:r>
    </w:p>
    <w:p>
      <w:pPr>
        <w:pStyle w:val="Normal"/>
        <w:jc w:val="both"/>
        <w:rPr>
          <w:rFonts w:ascii="Times New Roman" w:hAnsi="Times New Roman" w:cs="Times New Roman"/>
        </w:rPr>
      </w:pPr>
      <w:r>
        <w:rPr>
          <w:rFonts w:cs="Times New Roman" w:ascii="Times New Roman" w:hAnsi="Times New Roman"/>
        </w:rPr>
      </w:r>
    </w:p>
    <w:p>
      <w:pPr>
        <w:pStyle w:val="Normal"/>
        <w:spacing w:lineRule="atLeast" w:line="240"/>
        <w:ind w:firstLine="720" w:end="0"/>
        <w:jc w:val="both"/>
        <w:rPr>
          <w:rFonts w:ascii="Times New Roman" w:hAnsi="Times New Roman" w:cs="Times New Roman"/>
          <w:b/>
        </w:rPr>
      </w:pPr>
      <w:r>
        <w:rPr>
          <w:rFonts w:cs="Times New Roman" w:ascii="Times New Roman" w:hAnsi="Times New Roman"/>
          <w:b/>
        </w:rPr>
        <w:t>Re: Changes in Application of Section 3.0 of the Power Pool of Alberta Rules</w:t>
      </w:r>
    </w:p>
    <w:p>
      <w:pPr>
        <w:pStyle w:val="Normal"/>
        <w:ind w:end="-180"/>
        <w:jc w:val="both"/>
        <w:rPr>
          <w:rFonts w:ascii="Times New Roman" w:hAnsi="Times New Roman" w:cs="Times New Roman"/>
          <w:b/>
        </w:rPr>
      </w:pPr>
      <w:r>
        <w:rPr>
          <w:rFonts w:cs="Times New Roman" w:ascii="Times New Roman" w:hAnsi="Times New Roman"/>
          <w:b/>
        </w:rPr>
      </w:r>
    </w:p>
    <w:p>
      <w:pPr>
        <w:pStyle w:val="Normal"/>
        <w:ind w:end="-180"/>
        <w:jc w:val="both"/>
        <w:rPr>
          <w:rFonts w:ascii="Times New Roman" w:hAnsi="Times New Roman" w:cs="Times New Roman"/>
        </w:rPr>
      </w:pPr>
      <w:r>
        <w:rPr>
          <w:rFonts w:cs="Times New Roman" w:ascii="Times New Roman" w:hAnsi="Times New Roman"/>
        </w:rPr>
        <w:t xml:space="preserve">I am writing to articulate the concerns of Enron Canada Corp., formerly Enron Capital &amp; Trade Resources Canada Corp. (“Enron”) respecting the decision of the Power Pool Administration to recommend to the Power Pool Council that it approve a change in the Power Pool Rules that would have the effect of discontinuing the Power Pool practice of allowing importers unlimited restatement privileges.  Enron’s concerns are both procedural and substantive.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 xml:space="preserve">From a procedural perspective, Enron can advise that it participated in a stakeholder workshop hosted by the Power Pool on July 23, 1999.  It was clear at the workshop that the majority of stakeholders present were not supportive of the proposed change in the restatement privileges.  Shortly after the stakeholder workshop the Power Pool Administration advised Enron and other stakeholders that it did not intend to proceed with this initiative at the present time.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 xml:space="preserve">Both during and after the stakeholder workshop Enron expressed an interest in understanding the process that would be followed in the event this initiative was revived.  Enron sought and received an assurance from the Power Pool Administration that stakeholders would be provided with the materials that would be presented by the Power Pool Administration to the Power Pool Council in support of this proposal so that Enron and other stakeholders would have a reasonable opportunity to consider these materials and provide comments on them to the Power Pool Council.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In keeping with this commitment, I was contacted by Mr. Wilson and Mr. McMaster on Thursday September 30, 1999 and advised that the Power Pool Council had been provided with a recommendation from the Power Pool Administration to approve a number of Rule changes, including one that would have the effect of changing the restatement privileges presently enjoyed by importers.  I was also advised that the materials provided to the Power Pool Council in support of the recommendations were substantially the same as the materials circulated at the stakeholder workshop in July, with the exception that the Power Pool Council was also provided with written submissions submitted by stakeholders, including Enron, on these issues.  I was also advised that the stakeholder submissions received by the Power Pool were confidential and therefore could not be shared with other stakeholders.</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 xml:space="preserve">It is Enron’s respectful view that prior to the Power Pool Council approving such a significant change in practice as would occur if Rule 3.4.2 is applied to importers it has a duty to afford all stakeholders the opportunity to review all materials the Power Pool Council will consider in relation to this matter and respond to the substantive arguments provided in support the Power Pool Administration’s recommendations.  This includes the opportunity to respond to submissions made by all stakeholders.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pPr>
      <w:r>
        <w:rPr>
          <w:rFonts w:cs="Times New Roman" w:ascii="Times New Roman" w:hAnsi="Times New Roman"/>
        </w:rPr>
        <w:t xml:space="preserve">In view of the negative impact this decision would have on the commercial interests of importers, the negative impact on the level of liquidity within the Alberta electricity market, and the considerable opposition to these changes from stakeholders, it is Enron’s respectful view that the appropriate forum for the Power Pool Council to consider the substantive arguments for and against the recommended changes is through a hearing or inquiry process as envisioned  in Section 7.4(4) of the </w:t>
      </w:r>
      <w:r>
        <w:rPr>
          <w:rFonts w:cs="Times New Roman" w:ascii="Times New Roman" w:hAnsi="Times New Roman"/>
          <w:u w:val="single"/>
        </w:rPr>
        <w:t>Electric Utilities Act</w:t>
      </w:r>
      <w:r>
        <w:rPr>
          <w:rFonts w:cs="Times New Roman" w:ascii="Times New Roman" w:hAnsi="Times New Roman"/>
        </w:rPr>
        <w:t xml:space="preserve">.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 xml:space="preserve">The negative impact on importers stems from the fact that the proposed changes would unduly reduce the flexibility of importers.  The current flexibility afforded to importers to amend their volume offerings is crucial because the marginal cost of energy supply in the U.S. Pacific Northwest is subject to significant volatility.  Under the current practice, importers can adjust their offers to account for changes in supply cost without changing the volume offered.  This allows importers to offer energy into the Power Pool at close to their marginal cost, or assume greater risk if they elect to offer in at a level higher than marginal cost.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The proposed change in practice would require supply incremental to the day ahead submission to be offered only at the highest offer price.  Except in the case where an importer’s highest offer is in merit, this would force an importer to be a price taker on the incremental volumes.  The increased risk associated with being a price taker will limit the ability of importers to be aggressive bidders for energy supply and may, consequently, reduce import levels.  This is problematic for both importers and the Alberta Electric System since it is likely to result in a lower level of imports in circumstances where it would be economic for the tie-line to operate at its maximum capacity.</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The recommendation to change the current practice is also problematic for importers in view of the price uncertainty inherent in the present pool-based Alberta marketplace.  A generator has the ability to set pool price during the hour even if it is not in merit at the start of the hour.  It can also stop generating if the unit is dispatched down as a result of it falling out of merit.  Unlike generators, importers commit to supply to the Pool prior to the hour and are bound to supply for the entire hour even if continued supply is at a loss.  Futhermore, an importer’s marginal cost can vary substantially from hour to hour while a generator has a comparatively fixed cost-base.  These differences justify the existing practice whereby importers are entitled to ten virtual units and unlimited volume restatements.</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 xml:space="preserve">While Enron firmly believes that preserving flexibility for imports is important, it appreciates that such a practice does not afford equal treatment of all pool participants.  An option worth considering to address this concern is to change the rules so that generators are afforded the same level of restatement flexibility as importers.  Enron understands that the Power Pool Administration may be concerned that this option may result in considerably greater number of restatements prior to each hour, which could not be processed by the System Controller.  This is precisely the type of issue that a hearing or inquiry process could thoroughly address given complete information respecting the impacts and cost of this option.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In summary, given the procedural and substantive concerns associated with the Power Pool Administration’s recommendations to the Power Pool Council,  Enron respectfully submits that an immediate decision from the Power Pool Council on this issue, without further consideration and input from stakeholders is not necessary to promote an efficient, fair and openly competitive market for electricity, and in fact may be counter to that objective.</w:t>
      </w:r>
      <w:r>
        <w:br w:type="page"/>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 xml:space="preserve"> </w:t>
      </w:r>
    </w:p>
    <w:p>
      <w:pPr>
        <w:pStyle w:val="Normal"/>
        <w:ind w:end="-180"/>
        <w:jc w:val="both"/>
        <w:rPr>
          <w:rFonts w:ascii="Times New Roman" w:hAnsi="Times New Roman" w:cs="Times New Roman"/>
        </w:rPr>
      </w:pPr>
      <w:r>
        <w:rPr>
          <w:rFonts w:cs="Times New Roman" w:ascii="Times New Roman" w:hAnsi="Times New Roman"/>
        </w:rPr>
        <w:t>If I can be of any further assistance to you in relation to this important matter, please do not hesitate to contact me at (403) 974-6746.</w:t>
      </w:r>
    </w:p>
    <w:p>
      <w:pPr>
        <w:pStyle w:val="Normal"/>
        <w:ind w:end="-180"/>
        <w:jc w:val="both"/>
        <w:rPr>
          <w:rFonts w:ascii="Times New Roman" w:hAnsi="Times New Roman" w:cs="Times New Roman"/>
        </w:rPr>
      </w:pPr>
      <w:r>
        <w:rPr>
          <w:rFonts w:cs="Times New Roman" w:ascii="Times New Roman" w:hAnsi="Times New Roman"/>
        </w:rPr>
      </w:r>
    </w:p>
    <w:p>
      <w:pPr>
        <w:pStyle w:val="Normal"/>
        <w:ind w:start="3600" w:end="-180"/>
        <w:jc w:val="both"/>
        <w:rPr>
          <w:rFonts w:ascii="Times New Roman" w:hAnsi="Times New Roman" w:cs="Times New Roman"/>
        </w:rPr>
      </w:pPr>
      <w:r>
        <w:rPr>
          <w:rFonts w:cs="Times New Roman" w:ascii="Times New Roman" w:hAnsi="Times New Roman"/>
        </w:rPr>
        <w:t>Yours truly,</w:t>
      </w:r>
    </w:p>
    <w:p>
      <w:pPr>
        <w:pStyle w:val="Normal"/>
        <w:ind w:start="3600" w:end="-180"/>
        <w:jc w:val="both"/>
        <w:rPr>
          <w:rFonts w:ascii="Times New Roman" w:hAnsi="Times New Roman" w:cs="Times New Roman"/>
        </w:rPr>
      </w:pPr>
      <w:r>
        <w:rPr>
          <w:rFonts w:cs="Times New Roman" w:ascii="Times New Roman" w:hAnsi="Times New Roman"/>
        </w:rPr>
      </w:r>
    </w:p>
    <w:p>
      <w:pPr>
        <w:pStyle w:val="Normal"/>
        <w:ind w:start="3600" w:end="-180"/>
        <w:jc w:val="both"/>
        <w:rPr>
          <w:rFonts w:ascii="Times New Roman" w:hAnsi="Times New Roman" w:cs="Times New Roman"/>
          <w:b/>
        </w:rPr>
      </w:pPr>
      <w:r>
        <w:rPr>
          <w:rFonts w:cs="Times New Roman" w:ascii="Times New Roman" w:hAnsi="Times New Roman"/>
          <w:b/>
        </w:rPr>
        <w:t>ENRON CANADA CORP.</w:t>
      </w:r>
    </w:p>
    <w:p>
      <w:pPr>
        <w:pStyle w:val="Normal"/>
        <w:ind w:start="3600" w:end="0"/>
        <w:jc w:val="both"/>
        <w:rPr>
          <w:rFonts w:ascii="Times New Roman" w:hAnsi="Times New Roman" w:cs="Times New Roman"/>
          <w:b/>
        </w:rPr>
      </w:pPr>
      <w:r>
        <w:rPr>
          <w:rFonts w:cs="Times New Roman" w:ascii="Times New Roman" w:hAnsi="Times New Roman"/>
          <w:b/>
        </w:rPr>
      </w:r>
    </w:p>
    <w:p>
      <w:pPr>
        <w:pStyle w:val="Normal"/>
        <w:ind w:start="3600" w:end="0"/>
        <w:jc w:val="both"/>
        <w:rPr>
          <w:rFonts w:ascii="Times New Roman" w:hAnsi="Times New Roman" w:cs="Times New Roman"/>
        </w:rPr>
      </w:pPr>
      <w:r>
        <w:rPr>
          <w:rFonts w:cs="Times New Roman" w:ascii="Times New Roman" w:hAnsi="Times New Roman"/>
        </w:rPr>
      </w:r>
    </w:p>
    <w:p>
      <w:pPr>
        <w:pStyle w:val="Normal"/>
        <w:ind w:start="3600" w:end="0"/>
        <w:jc w:val="both"/>
        <w:rPr>
          <w:rFonts w:ascii="Times New Roman" w:hAnsi="Times New Roman" w:cs="Times New Roman"/>
        </w:rPr>
      </w:pPr>
      <w:r>
        <w:rPr>
          <w:rFonts w:cs="Times New Roman" w:ascii="Times New Roman" w:hAnsi="Times New Roman"/>
        </w:rPr>
      </w:r>
    </w:p>
    <w:p>
      <w:pPr>
        <w:pStyle w:val="Normal"/>
        <w:ind w:start="3600" w:end="0"/>
        <w:jc w:val="both"/>
        <w:rPr>
          <w:rFonts w:ascii="Times New Roman" w:hAnsi="Times New Roman" w:cs="Times New Roman"/>
        </w:rPr>
      </w:pPr>
      <w:r>
        <w:rPr>
          <w:rFonts w:cs="Times New Roman" w:ascii="Times New Roman" w:hAnsi="Times New Roman"/>
        </w:rPr>
        <w:t xml:space="preserve">Robert Hemstock </w:t>
      </w:r>
    </w:p>
    <w:p>
      <w:pPr>
        <w:pStyle w:val="Normal"/>
        <w:ind w:start="3600" w:end="0"/>
        <w:jc w:val="both"/>
        <w:rPr>
          <w:rFonts w:ascii="Times New Roman" w:hAnsi="Times New Roman" w:cs="Times New Roman"/>
        </w:rPr>
      </w:pPr>
      <w:r>
        <w:rPr>
          <w:rFonts w:cs="Times New Roman" w:ascii="Times New Roman" w:hAnsi="Times New Roman"/>
        </w:rPr>
        <w:t xml:space="preserve">Director, Government Affairs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c.:  </w:t>
        <w:tab/>
        <w:t>Mr. Lorry Wilson</w:t>
      </w:r>
    </w:p>
    <w:p>
      <w:pPr>
        <w:pStyle w:val="Normal"/>
        <w:jc w:val="both"/>
        <w:rPr>
          <w:rFonts w:ascii="Times New Roman" w:hAnsi="Times New Roman" w:cs="Times New Roman"/>
        </w:rPr>
      </w:pPr>
      <w:r>
        <w:rPr>
          <w:rFonts w:cs="Times New Roman" w:ascii="Times New Roman" w:hAnsi="Times New Roman"/>
        </w:rPr>
        <w:tab/>
        <w:t>Chief Executive Officer, Power Pool of Alberta</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Mr. Dale McMaster,</w:t>
      </w:r>
    </w:p>
    <w:p>
      <w:pPr>
        <w:pStyle w:val="Normal"/>
        <w:jc w:val="both"/>
        <w:rPr>
          <w:rFonts w:ascii="Times New Roman" w:hAnsi="Times New Roman" w:cs="Times New Roman"/>
        </w:rPr>
      </w:pPr>
      <w:r>
        <w:rPr>
          <w:rFonts w:cs="Times New Roman" w:ascii="Times New Roman" w:hAnsi="Times New Roman"/>
        </w:rPr>
        <w:tab/>
        <w:t>Chief Operating Officer, Power Pool of Alberta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sectPr>
      <w:headerReference w:type="default" r:id="rId4"/>
      <w:headerReference w:type="first" r:id="rId5"/>
      <w:footerReference w:type="default" r:id="rId6"/>
      <w:footerReference w:type="first" r:id="rId7"/>
      <w:type w:val="nextPage"/>
      <w:pgSz w:w="12240" w:h="15840"/>
      <w:pgMar w:left="1800" w:right="1800" w:gutter="0" w:header="1440" w:top="1496"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altName w:val="Arial"/>
    <w:charset w:val="00" w:characterSet="windows-1252"/>
    <w:family w:val="swiss"/>
    <w:pitch w:val="variable"/>
  </w:font>
  <w:font w:name="CG Times (WN)">
    <w:altName w:val="Arial"/>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/mnt/main-storage/datasets/enron-docs/doc/Power_Pool_Restatement_Rules_Letter_100399.doc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/mnt/main-storage/datasets/enron-docs/doc/Power_Pool_Restatement_Rules_Letter_100399.doc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20"/>
      </w:rPr>
    </w:pPr>
    <w:r>
      <w:rPr>
        <w:rFonts w:cs="Arial" w:ascii="Arial" w:hAnsi="Arial"/>
        <w:sz w:val="20"/>
      </w:rPr>
      <w:fldChar w:fldCharType="begin"/>
    </w:r>
    <w:r>
      <w:rPr>
        <w:sz w:val="20"/>
        <w:rFonts w:cs="Arial" w:ascii="Arial" w:hAnsi="Arial"/>
      </w:rPr>
      <w:instrText xml:space="preserve"> DATE \@"M/d/yyyy" </w:instrText>
    </w:r>
    <w:r>
      <w:rPr>
        <w:sz w:val="20"/>
        <w:rFonts w:cs="Arial" w:ascii="Arial" w:hAnsi="Arial"/>
      </w:rPr>
      <w:fldChar w:fldCharType="separate"/>
    </w:r>
    <w:r>
      <w:rPr>
        <w:sz w:val="20"/>
        <w:rFonts w:cs="Arial" w:ascii="Arial" w:hAnsi="Arial"/>
      </w:rPr>
      <w:t>9/28/2025</w:t>
    </w:r>
    <w:r>
      <w:rPr>
        <w:sz w:val="20"/>
        <w:rFonts w:cs="Arial" w:ascii="Arial" w:hAnsi="Arial"/>
      </w:rPr>
      <w:fldChar w:fldCharType="end"/>
    </w:r>
  </w:p>
  <w:p>
    <w:pPr>
      <w:pStyle w:val="Header"/>
      <w:jc w:val="end"/>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4</w:t>
    </w:r>
    <w:r>
      <w:rPr>
        <w:rStyle w:val="PageNumber"/>
        <w:sz w:val="20"/>
        <w:rFonts w:cs="Arial" w:ascii="Arial" w:hAnsi="Arial"/>
      </w:rPr>
      <w:fldChar w:fldCharType="end"/>
    </w:r>
  </w:p>
  <w:p>
    <w:pPr>
      <w:pStyle w:val="Header"/>
      <w:jc w:val="end"/>
      <w:rPr>
        <w:rStyle w:val="PageNumber"/>
        <w:rFonts w:ascii="Arial" w:hAnsi="Arial" w:cs="Arial"/>
        <w:sz w:val="20"/>
      </w:rPr>
    </w:pPr>
    <w:r>
      <w:rPr/>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Arial" w:hAnsi="Univers (WN);Arial" w:eastAsia="Times New Roman" w:cs="Univers (WN);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sz w:val="20"/>
    </w:rPr>
  </w:style>
  <w:style w:type="paragraph" w:styleId="NormalIndent">
    <w:name w:val="Normal Indent"/>
    <w:basedOn w:val="Normal"/>
    <w:qFormat/>
    <w:pPr>
      <w:ind w:hanging="0" w:start="720" w:end="0"/>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1999-10-03T23:46:00Z</dcterms:created>
  <dc:creator>ushah</dc:creator>
  <dc:description>
</dc:description>
  <dc:language>en-CA</dc:language>
  <cp:lastModifiedBy>rhemsto</cp:lastModifiedBy>
  <cp:lastPrinted>1999-10-03T17:25:00Z</cp:lastPrinted>
  <dcterms:modified xsi:type="dcterms:W3CDTF">1999-10-03T23:54:00Z</dcterms:modified>
  <cp:revision>3</cp:revision>
  <dc:subject/>
  <dc:title>September 27, 1995</dc:title>
</cp:coreProperties>
</file>