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p>
      <w:pPr>
        <w:pStyle w:val="Normal"/>
        <w:jc w:val="end"/>
        <w:rPr>
          <w:rFonts w:ascii="Times New Roman" w:hAnsi="Times New Roman" w:cs="Times New Roman"/>
          <w:b/>
        </w:rPr>
      </w:pPr>
      <w:r>
        <w:rPr>
          <w:rFonts w:cs="Times New Roman" w:ascii="Times New Roman" w:hAnsi="Times New Roman"/>
          <w:b/>
        </w:rPr>
        <w:t>VIA FACSIMILE</w:t>
      </w:r>
    </w:p>
    <w:p>
      <w:pPr>
        <w:pStyle w:val="Normal"/>
        <w:jc w:val="end"/>
        <w:rPr>
          <w:rFonts w:ascii="Times New Roman" w:hAnsi="Times New Roman" w:cs="Times New Roman"/>
        </w:rPr>
      </w:pPr>
      <w:r>
        <w:rPr>
          <w:rFonts w:cs="Times New Roman" w:ascii="Times New Roman" w:hAnsi="Times New Roman"/>
          <w:b/>
        </w:rPr>
        <w:t>(403) 543-0388</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Power Pool of Alberta</w:t>
      </w:r>
    </w:p>
    <w:p>
      <w:pPr>
        <w:pStyle w:val="Normal"/>
        <w:jc w:val="both"/>
        <w:rPr>
          <w:rFonts w:ascii="Times New Roman" w:hAnsi="Times New Roman" w:cs="Times New Roman"/>
        </w:rPr>
      </w:pPr>
      <w:r>
        <w:rPr>
          <w:rFonts w:cs="Times New Roman" w:ascii="Times New Roman" w:hAnsi="Times New Roman"/>
        </w:rPr>
        <w:t>McFarlane Tower</w:t>
      </w:r>
    </w:p>
    <w:p>
      <w:pPr>
        <w:pStyle w:val="Normal"/>
        <w:jc w:val="both"/>
        <w:rPr/>
      </w:pPr>
      <w:r>
        <w:rPr>
          <w:rFonts w:cs="Times New Roman" w:ascii="Times New Roman" w:hAnsi="Times New Roman"/>
        </w:rPr>
        <w:t>1800, 700 – 4</w:t>
      </w:r>
      <w:r>
        <w:rPr>
          <w:rFonts w:cs="Times New Roman" w:ascii="Times New Roman" w:hAnsi="Times New Roman"/>
          <w:vertAlign w:val="superscript"/>
        </w:rPr>
        <w:t>th</w:t>
      </w:r>
      <w:r>
        <w:rPr>
          <w:rFonts w:cs="Times New Roman" w:ascii="Times New Roman" w:hAnsi="Times New Roman"/>
        </w:rPr>
        <w:t xml:space="preserve"> Avenue S.W.</w:t>
      </w:r>
    </w:p>
    <w:p>
      <w:pPr>
        <w:pStyle w:val="Normal"/>
        <w:jc w:val="both"/>
        <w:rPr>
          <w:rFonts w:ascii="Times New Roman" w:hAnsi="Times New Roman" w:cs="Times New Roman"/>
        </w:rPr>
      </w:pPr>
      <w:r>
        <w:rPr>
          <w:rFonts w:cs="Times New Roman" w:ascii="Times New Roman" w:hAnsi="Times New Roman"/>
        </w:rPr>
        <w:t>Calgary, Alberta</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t>T2P 3J4</w:t>
      </w:r>
    </w:p>
    <w:p>
      <w:pPr>
        <w:pStyle w:val="Normal"/>
        <w:tabs>
          <w:tab w:val="clear" w:pos="720"/>
          <w:tab w:val="left" w:pos="1440" w:leader="none"/>
          <w:tab w:val="left" w:pos="2160" w:leader="none"/>
          <w:tab w:val="left" w:pos="5280" w:leader="none"/>
          <w:tab w:val="left" w:pos="5472" w:leader="none"/>
          <w:tab w:val="left" w:pos="648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Attention:  Mr. Doug Heath</w:t>
      </w:r>
    </w:p>
    <w:p>
      <w:pPr>
        <w:pStyle w:val="Normal"/>
        <w:jc w:val="both"/>
        <w:rPr>
          <w:rFonts w:ascii="Times New Roman" w:hAnsi="Times New Roman" w:cs="Times New Roman"/>
        </w:rPr>
      </w:pPr>
      <w:r>
        <w:rPr>
          <w:rFonts w:cs="Times New Roman" w:ascii="Times New Roman" w:hAnsi="Times New Roman"/>
        </w:rPr>
      </w:r>
    </w:p>
    <w:p>
      <w:pPr>
        <w:pStyle w:val="Normal"/>
        <w:spacing w:lineRule="atLeast" w:line="240"/>
        <w:ind w:firstLine="720" w:end="0"/>
        <w:jc w:val="both"/>
        <w:rPr>
          <w:rFonts w:ascii="Times New Roman" w:hAnsi="Times New Roman" w:cs="Times New Roman"/>
          <w:b/>
        </w:rPr>
      </w:pPr>
      <w:r>
        <w:rPr>
          <w:rFonts w:cs="Times New Roman" w:ascii="Times New Roman" w:hAnsi="Times New Roman"/>
          <w:b/>
        </w:rPr>
        <w:t>Re:</w:t>
        <w:tab/>
        <w:t>Changes to Section 3.0 of the Pool Rules</w:t>
      </w:r>
    </w:p>
    <w:p>
      <w:pPr>
        <w:pStyle w:val="Normal"/>
        <w:ind w:end="-180"/>
        <w:jc w:val="both"/>
        <w:rPr>
          <w:rFonts w:ascii="Times New Roman" w:hAnsi="Times New Roman" w:cs="Times New Roman"/>
          <w:b/>
        </w:rPr>
      </w:pPr>
      <w:r>
        <w:rPr>
          <w:rFonts w:cs="Times New Roman" w:ascii="Times New Roman" w:hAnsi="Times New Roman"/>
          <w:b/>
        </w:rPr>
      </w:r>
    </w:p>
    <w:p>
      <w:pPr>
        <w:pStyle w:val="Normal"/>
        <w:ind w:end="-180"/>
        <w:jc w:val="both"/>
        <w:rPr>
          <w:rFonts w:ascii="Times New Roman" w:hAnsi="Times New Roman" w:cs="Times New Roman"/>
        </w:rPr>
      </w:pPr>
      <w:r>
        <w:rPr>
          <w:rFonts w:cs="Times New Roman" w:ascii="Times New Roman" w:hAnsi="Times New Roman"/>
        </w:rPr>
        <w:t xml:space="preserve">Further to our meeting of July 2, 1999 and my subsequent attendance at the Pool Rules Workshop held on July 23, 1999, I am writing to articulate the views of Enron Capital &amp; Trade Resources Canada Corp (“ECT Canada”) respecting the possible changes in the application of Section 3.0 of the Power Pool Rules to importers.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I understand, based on discussions with Dale McMaster subsequent to the Pool Rules Workshop, that the Power Pool is “rethinking” the proposed change in the application of Section 3.0 of the Pool Rules in light of the feedback provided by stakeholders at the Pool Rules Workshop.  ECT Canada views this as a positive development.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ECT Canada shares the view of a number of other importers that the proposed changes in the application of Section 3.0 of the Power Pool Rules would unduly reduce the current flexibility of importers and therefore increase the barriers faced by importers supplying the Alberta market.  The current flexibility afforded to importers to amend their volume offerings is crucial for Alberta importers because the marginal cost of energy supply in the U.S. Pacific Northwest is subject to significant volatility.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The idea of a consistent rule for both generators and importers is untenable at the present time in view of the reality of the existing Alberta marketplace.  A generator has the ability to set pool price during the hour even if it is not within merit at the start of the hour.  It can also stop generating if the unit is dispatched down as a result of it falling out of merit.  Unlike generators, importers commit to supply to the Pool prior to the hour and are bound to supply for the entire hour even if continued supply during an hour must be continued at a loss.  Price risk can theoretically be managed through financial hedging but as we know a liquid cfd market has not yet materialized.  This difference justifies the flexibility inherent in the application of the existing rules whereby importers are entitled to ten virtual units and unlimited volume restatements.</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The present lack of price certainty inherent in the mandatory pool model impacts importers in a manner that is significantly different from the impact on generators and therefore a higher level of flexibility respecting volume restatements to importers is currently justifiable for Alberta.  The alternative of a restatement rule that is applied consistently to generators and importers will have the effect of reducing the appeal of the Alberta market to importers relative to other market opportunities.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It is our understanding that if the Power Pool elects to proceed with a revision of the application of the Pool Rules relating to the restatement rights of importers, it will first circulate a written summary/analysis of the problems such a change is intended to address and the rationale behind the proposed solution.  We also understand that the Power Pool will accept written comments from interested stakeholders and these comments will be forwarded to the Power Pool Council prior to it being asked to approve such a rule change.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 xml:space="preserve">ECT Canada commends the Power Pool of Alberta for its responsiveness to stakeholder concerns in relation to the proposed changes to Section 3.0 of the Power Pool Rules. </w:t>
      </w:r>
    </w:p>
    <w:p>
      <w:pPr>
        <w:pStyle w:val="Normal"/>
        <w:ind w:end="-180"/>
        <w:jc w:val="both"/>
        <w:rPr>
          <w:rFonts w:ascii="Times New Roman" w:hAnsi="Times New Roman" w:cs="Times New Roman"/>
        </w:rPr>
      </w:pPr>
      <w:r>
        <w:rPr>
          <w:rFonts w:cs="Times New Roman" w:ascii="Times New Roman" w:hAnsi="Times New Roman"/>
        </w:rPr>
      </w:r>
    </w:p>
    <w:p>
      <w:pPr>
        <w:pStyle w:val="Normal"/>
        <w:ind w:end="-180"/>
        <w:jc w:val="both"/>
        <w:rPr>
          <w:rFonts w:ascii="Times New Roman" w:hAnsi="Times New Roman" w:cs="Times New Roman"/>
        </w:rPr>
      </w:pPr>
      <w:r>
        <w:rPr>
          <w:rFonts w:cs="Times New Roman" w:ascii="Times New Roman" w:hAnsi="Times New Roman"/>
        </w:rPr>
        <w:t>If you have any questions please do not hesitate to contact me at (403) 974-6746.</w:t>
      </w:r>
    </w:p>
    <w:p>
      <w:pPr>
        <w:pStyle w:val="Normal"/>
        <w:ind w:end="-180"/>
        <w:jc w:val="both"/>
        <w:rPr>
          <w:rFonts w:ascii="Times New Roman" w:hAnsi="Times New Roman" w:cs="Times New Roman"/>
        </w:rPr>
      </w:pPr>
      <w:r>
        <w:rPr>
          <w:rFonts w:cs="Times New Roman" w:ascii="Times New Roman" w:hAnsi="Times New Roman"/>
        </w:rPr>
      </w:r>
    </w:p>
    <w:p>
      <w:pPr>
        <w:pStyle w:val="Normal"/>
        <w:ind w:start="3600" w:end="-180"/>
        <w:jc w:val="both"/>
        <w:rPr>
          <w:rFonts w:ascii="Times New Roman" w:hAnsi="Times New Roman" w:cs="Times New Roman"/>
        </w:rPr>
      </w:pPr>
      <w:r>
        <w:rPr>
          <w:rFonts w:cs="Times New Roman" w:ascii="Times New Roman" w:hAnsi="Times New Roman"/>
        </w:rPr>
        <w:t>Yours truly,</w:t>
      </w:r>
    </w:p>
    <w:p>
      <w:pPr>
        <w:pStyle w:val="Normal"/>
        <w:ind w:start="3600" w:end="-180"/>
        <w:jc w:val="both"/>
        <w:rPr>
          <w:rFonts w:ascii="Times New Roman" w:hAnsi="Times New Roman" w:cs="Times New Roman"/>
        </w:rPr>
      </w:pPr>
      <w:r>
        <w:rPr>
          <w:rFonts w:cs="Times New Roman" w:ascii="Times New Roman" w:hAnsi="Times New Roman"/>
        </w:rPr>
      </w:r>
    </w:p>
    <w:p>
      <w:pPr>
        <w:pStyle w:val="Normal"/>
        <w:ind w:start="3600" w:end="-180"/>
        <w:jc w:val="both"/>
        <w:rPr>
          <w:rFonts w:ascii="Times New Roman" w:hAnsi="Times New Roman" w:cs="Times New Roman"/>
          <w:b/>
        </w:rPr>
      </w:pPr>
      <w:r>
        <w:rPr>
          <w:rFonts w:cs="Times New Roman" w:ascii="Times New Roman" w:hAnsi="Times New Roman"/>
          <w:b/>
        </w:rPr>
        <w:t>ENRON CAPITAL &amp; TRADE RESOURCES</w:t>
      </w:r>
    </w:p>
    <w:p>
      <w:pPr>
        <w:pStyle w:val="Normal"/>
        <w:ind w:start="3600" w:end="-180"/>
        <w:jc w:val="both"/>
        <w:rPr>
          <w:rFonts w:ascii="Times New Roman" w:hAnsi="Times New Roman" w:cs="Times New Roman"/>
          <w:b/>
        </w:rPr>
      </w:pPr>
      <w:r>
        <w:rPr>
          <w:rFonts w:cs="Times New Roman" w:ascii="Times New Roman" w:hAnsi="Times New Roman"/>
          <w:b/>
        </w:rPr>
        <w:t>CANADA CORP.</w:t>
      </w:r>
    </w:p>
    <w:p>
      <w:pPr>
        <w:pStyle w:val="Normal"/>
        <w:ind w:start="3600" w:end="0"/>
        <w:jc w:val="both"/>
        <w:rPr>
          <w:rFonts w:ascii="Times New Roman" w:hAnsi="Times New Roman" w:cs="Times New Roman"/>
          <w:b/>
        </w:rPr>
      </w:pPr>
      <w:r>
        <w:rPr>
          <w:rFonts w:cs="Times New Roman" w:ascii="Times New Roman" w:hAnsi="Times New Roman"/>
          <w:b/>
        </w:rPr>
      </w:r>
    </w:p>
    <w:p>
      <w:pPr>
        <w:pStyle w:val="Normal"/>
        <w:ind w:start="3600" w:end="0"/>
        <w:jc w:val="both"/>
        <w:rPr>
          <w:rFonts w:ascii="Times New Roman" w:hAnsi="Times New Roman" w:cs="Times New Roman"/>
        </w:rPr>
      </w:pPr>
      <w:r>
        <w:rPr>
          <w:rFonts w:cs="Times New Roman" w:ascii="Times New Roman" w:hAnsi="Times New Roman"/>
        </w:rPr>
      </w:r>
    </w:p>
    <w:p>
      <w:pPr>
        <w:pStyle w:val="Normal"/>
        <w:ind w:start="3600" w:end="0"/>
        <w:jc w:val="both"/>
        <w:rPr>
          <w:rFonts w:ascii="Times New Roman" w:hAnsi="Times New Roman" w:cs="Times New Roman"/>
        </w:rPr>
      </w:pPr>
      <w:r>
        <w:rPr>
          <w:rFonts w:cs="Times New Roman" w:ascii="Times New Roman" w:hAnsi="Times New Roman"/>
        </w:rPr>
      </w:r>
    </w:p>
    <w:p>
      <w:pPr>
        <w:pStyle w:val="Normal"/>
        <w:ind w:start="3600" w:end="0"/>
        <w:jc w:val="both"/>
        <w:rPr>
          <w:rFonts w:ascii="Times New Roman" w:hAnsi="Times New Roman" w:cs="Times New Roman"/>
        </w:rPr>
      </w:pPr>
      <w:r>
        <w:rPr>
          <w:rFonts w:cs="Times New Roman" w:ascii="Times New Roman" w:hAnsi="Times New Roman"/>
        </w:rPr>
      </w:r>
    </w:p>
    <w:p>
      <w:pPr>
        <w:pStyle w:val="Normal"/>
        <w:ind w:start="3600" w:end="0"/>
        <w:jc w:val="both"/>
        <w:rPr>
          <w:rFonts w:ascii="Times New Roman" w:hAnsi="Times New Roman" w:cs="Times New Roman"/>
        </w:rPr>
      </w:pPr>
      <w:r>
        <w:rPr>
          <w:rFonts w:cs="Times New Roman" w:ascii="Times New Roman" w:hAnsi="Times New Roman"/>
        </w:rPr>
        <w:t xml:space="preserve">Robert Hemstock </w:t>
      </w:r>
    </w:p>
    <w:p>
      <w:pPr>
        <w:pStyle w:val="Normal"/>
        <w:ind w:start="3600" w:end="0"/>
        <w:jc w:val="both"/>
        <w:rPr>
          <w:rFonts w:ascii="Times New Roman" w:hAnsi="Times New Roman" w:cs="Times New Roman"/>
        </w:rPr>
      </w:pPr>
      <w:r>
        <w:rPr>
          <w:rFonts w:cs="Times New Roman" w:ascii="Times New Roman" w:hAnsi="Times New Roman"/>
        </w:rPr>
        <w:t xml:space="preserve">Director, Government Affairs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c.:  </w:t>
        <w:tab/>
        <w:t>Mr. Dale McMaster,</w:t>
      </w:r>
    </w:p>
    <w:p>
      <w:pPr>
        <w:pStyle w:val="Normal"/>
        <w:jc w:val="both"/>
        <w:rPr>
          <w:rFonts w:ascii="Times New Roman" w:hAnsi="Times New Roman" w:cs="Times New Roman"/>
        </w:rPr>
      </w:pPr>
      <w:r>
        <w:rPr>
          <w:rFonts w:cs="Times New Roman" w:ascii="Times New Roman" w:hAnsi="Times New Roman"/>
        </w:rPr>
        <w:tab/>
        <w:t>Chief Operating Officer, Power Pool of Alberta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RH/co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sectPr>
      <w:headerReference w:type="default" r:id="rId2"/>
      <w:headerReference w:type="first" r:id="rId3"/>
      <w:footerReference w:type="default" r:id="rId4"/>
      <w:footerReference w:type="first" r:id="rId5"/>
      <w:type w:val="nextPage"/>
      <w:pgSz w:w="12240" w:h="15840"/>
      <w:pgMar w:left="1800" w:right="1800" w:gutter="0" w:header="1440" w:top="1496" w:footer="288"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N)">
    <w:altName w:val="Arial"/>
    <w:charset w:val="00" w:characterSet="windows-1252"/>
    <w:family w:val="swiss"/>
    <w:pitch w:val="variable"/>
  </w:font>
  <w:font w:name="CG Times (WN)">
    <w:altName w:val="Arial"/>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/mnt/main-storage/datasets/enron-docs/doc/Power_Pool_Restatement_082499.doc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/mnt/main-storage/datasets/enron-docs/doc/Power_Pool_Restatement_082499.doc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fldChar w:fldCharType="begin"/>
    </w:r>
    <w:r>
      <w:rPr>
        <w:sz w:val="20"/>
        <w:rFonts w:cs="Arial" w:ascii="Arial" w:hAnsi="Arial"/>
      </w:rPr>
      <w:instrText xml:space="preserve"> DATE \@"M/d/yyyy" </w:instrText>
    </w:r>
    <w:r>
      <w:rPr>
        <w:sz w:val="20"/>
        <w:rFonts w:cs="Arial" w:ascii="Arial" w:hAnsi="Arial"/>
      </w:rPr>
      <w:fldChar w:fldCharType="separate"/>
    </w:r>
    <w:r>
      <w:rPr>
        <w:sz w:val="20"/>
        <w:rFonts w:cs="Arial" w:ascii="Arial" w:hAnsi="Arial"/>
      </w:rPr>
      <w:t>9/28/2025</w:t>
    </w:r>
    <w:r>
      <w:rPr>
        <w:sz w:val="20"/>
        <w:rFonts w:cs="Arial" w:ascii="Arial" w:hAnsi="Arial"/>
      </w:rPr>
      <w:fldChar w:fldCharType="end"/>
    </w:r>
  </w:p>
  <w:p>
    <w:pPr>
      <w:pStyle w:val="Header"/>
      <w:jc w:val="end"/>
      <w:rPr>
        <w:rStyle w:val="PageNumber"/>
        <w:rFonts w:ascii="Arial" w:hAnsi="Arial" w:cs="Arial"/>
        <w:sz w:val="20"/>
      </w:rPr>
    </w:pPr>
    <w:r>
      <w:rPr>
        <w:rFonts w:cs="Arial" w:ascii="Arial" w:hAnsi="Arial"/>
        <w:sz w:val="20"/>
      </w:rPr>
      <w:t xml:space="preserve">Page </w:t>
    </w: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2</w:t>
    </w:r>
    <w:r>
      <w:rPr>
        <w:rStyle w:val="PageNumber"/>
        <w:sz w:val="20"/>
        <w:rFonts w:cs="Arial" w:ascii="Arial" w:hAnsi="Arial"/>
      </w:rPr>
      <w:fldChar w:fldCharType="end"/>
    </w:r>
  </w:p>
  <w:p>
    <w:pPr>
      <w:pStyle w:val="Header"/>
      <w:jc w:val="end"/>
      <w:rPr>
        <w:rStyle w:val="PageNumber"/>
        <w:rFonts w:ascii="Arial" w:hAnsi="Arial" w:cs="Arial"/>
        <w:sz w:val="20"/>
      </w:rPr>
    </w:pPr>
    <w:r>
      <w:rPr/>
    </w:r>
  </w:p>
  <w:p>
    <w:pPr>
      <w:pStyle w:val="Header"/>
      <w:jc w:val="end"/>
      <w:rPr>
        <w:rStyle w:val="PageNumber"/>
        <w:rFonts w:ascii="Arial" w:hAnsi="Arial" w:cs="Arial"/>
        <w:sz w:val="18"/>
      </w:rPr>
    </w:pPr>
    <w:r>
      <w:rPr/>
    </w:r>
  </w:p>
  <w:p>
    <w:pPr>
      <w:pStyle w:val="Header"/>
      <w:jc w:val="end"/>
      <w:rPr>
        <w:rStyle w:val="PageNumber"/>
        <w:rFonts w:ascii="Arial" w:hAnsi="Arial" w:cs="Arial"/>
        <w:sz w:val="1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 (WN);Arial" w:hAnsi="Univers (WN);Arial" w:eastAsia="Times New Roman" w:cs="Univers (WN);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1999-08-24T13:21:00Z</dcterms:created>
  <dc:creator>ushah</dc:creator>
  <dc:description>
</dc:description>
  <dc:language>en-CA</dc:language>
  <cp:lastModifiedBy>ECT</cp:lastModifiedBy>
  <cp:lastPrinted>1999-08-24T09:53:00Z</cp:lastPrinted>
  <dcterms:modified xsi:type="dcterms:W3CDTF">1999-08-24T13:29:00Z</dcterms:modified>
  <cp:revision>3</cp:revision>
  <dc:subject/>
  <dc:title>September 27, 1995</dc:title>
</cp:coreProperties>
</file>