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3"/>
        </w:numPr>
        <w:spacing w:before="120" w:after="0"/>
        <w:rPr/>
      </w:pPr>
      <w:r>
        <w:rPr/>
        <w:t>Power</w:t>
      </w:r>
    </w:p>
    <w:p>
      <w:pPr>
        <w:pStyle w:val="Heading2"/>
        <w:numPr>
          <w:ilvl w:val="2"/>
          <w:numId w:val="3"/>
        </w:numPr>
        <w:rPr/>
      </w:pPr>
      <w:r>
        <w:rPr/>
        <w:t>General Risk Areas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Netting</w:t>
      </w:r>
      <w:r>
        <w:rPr/>
        <w:t xml:space="preserve"> – Inability to net exposures between power and other commodities (gas, financial . . .) due to trading in separate entities (EPMI, ENA).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120" w:after="0"/>
        <w:ind w:hanging="360" w:start="1440" w:end="0"/>
        <w:jc w:val="both"/>
        <w:rPr/>
      </w:pPr>
      <w:r>
        <w:rPr/>
        <w:t xml:space="preserve">Assign exposures to EPMI 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120" w:after="0"/>
        <w:ind w:hanging="360" w:start="1440" w:end="0"/>
        <w:jc w:val="both"/>
        <w:rPr/>
      </w:pPr>
      <w:r>
        <w:rPr/>
        <w:t>Negotiate triangular netting bridge with counterparties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Contract Inadequacy</w:t>
      </w:r>
      <w:r>
        <w:rPr/>
        <w:t xml:space="preserve"> – Power contracts with individual counterparties may be inadequate.  Risk areas include:</w:t>
      </w:r>
    </w:p>
    <w:p>
      <w:pPr>
        <w:pStyle w:val="Normal"/>
        <w:spacing w:before="120" w:after="0"/>
        <w:ind w:hanging="360" w:start="1440" w:end="0"/>
        <w:jc w:val="both"/>
        <w:rPr/>
      </w:pPr>
      <w:r>
        <w:rPr/>
        <w:t>a.</w:t>
        <w:tab/>
      </w:r>
      <w:r>
        <w:rPr>
          <w:i/>
          <w:iCs/>
        </w:rPr>
        <w:t>Separate contracts</w:t>
      </w:r>
      <w:r>
        <w:rPr/>
        <w:t xml:space="preserve"> – Buy under one, sell under another; no ability to net exposures</w:t>
      </w:r>
    </w:p>
    <w:p>
      <w:pPr>
        <w:pStyle w:val="Normal"/>
        <w:spacing w:before="120" w:after="0"/>
        <w:ind w:hanging="360" w:start="1440" w:end="0"/>
        <w:jc w:val="both"/>
        <w:rPr/>
      </w:pPr>
      <w:r>
        <w:rPr/>
        <w:t>b.</w:t>
        <w:tab/>
      </w:r>
      <w:r>
        <w:rPr>
          <w:i/>
          <w:iCs/>
        </w:rPr>
        <w:t>Agency</w:t>
      </w:r>
      <w:r>
        <w:rPr/>
        <w:t xml:space="preserve"> – Several major counterparties trade through agents; possible manipulation of exposures between principals</w:t>
      </w:r>
    </w:p>
    <w:p>
      <w:pPr>
        <w:pStyle w:val="Normal"/>
        <w:spacing w:before="120" w:after="0"/>
        <w:ind w:hanging="360" w:start="1440" w:end="0"/>
        <w:jc w:val="both"/>
        <w:rPr/>
      </w:pPr>
      <w:r>
        <w:rPr/>
        <w:t>c.</w:t>
        <w:tab/>
      </w:r>
      <w:r>
        <w:rPr>
          <w:i/>
          <w:iCs/>
        </w:rPr>
        <w:t>No Events of Default/Termination Payment</w:t>
      </w:r>
      <w:r>
        <w:rPr/>
        <w:t xml:space="preserve"> – Many contracts do not expressly permit termination or calculation of damages</w:t>
      </w:r>
    </w:p>
    <w:p>
      <w:pPr>
        <w:pStyle w:val="Normal"/>
        <w:spacing w:before="120" w:after="0"/>
        <w:ind w:hanging="360" w:start="1440" w:end="0"/>
        <w:jc w:val="both"/>
        <w:rPr/>
      </w:pPr>
      <w:r>
        <w:rPr/>
        <w:t>d.</w:t>
        <w:tab/>
      </w:r>
      <w:r>
        <w:rPr>
          <w:i/>
          <w:iCs/>
        </w:rPr>
        <w:t>One-Way Payment upon Termination</w:t>
      </w:r>
      <w:r>
        <w:rPr/>
        <w:t xml:space="preserve"> – Many contracts contain one way payments that may incentivize a counterparty to declare a default</w:t>
      </w:r>
    </w:p>
    <w:p>
      <w:pPr>
        <w:pStyle w:val="Normal"/>
        <w:spacing w:before="120" w:after="0"/>
        <w:ind w:hanging="360" w:start="1440" w:end="0"/>
        <w:jc w:val="both"/>
        <w:rPr/>
      </w:pPr>
      <w:r>
        <w:rPr/>
        <w:t>e.</w:t>
        <w:tab/>
      </w:r>
      <w:r>
        <w:rPr>
          <w:i/>
          <w:iCs/>
        </w:rPr>
        <w:t>Credit</w:t>
      </w:r>
      <w:r>
        <w:rPr/>
        <w:t xml:space="preserve"> – Many contracts have no credit or an adequate assurance test that enables counterparties to request any amount of collateral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Force Majeure/Other Performance Outs</w:t>
      </w:r>
      <w:r>
        <w:rPr/>
        <w:t xml:space="preserve"> – No standard force majeure; buy side on any transaction likely to be very different than sale side.  Also, many contracts contain other broad performance outs.</w:t>
      </w:r>
    </w:p>
    <w:p>
      <w:pPr>
        <w:pStyle w:val="BodyTextIndent2"/>
        <w:spacing w:before="120" w:after="0"/>
        <w:ind w:hanging="360" w:start="1440" w:end="0"/>
        <w:jc w:val="both"/>
        <w:rPr/>
      </w:pPr>
      <w:r>
        <w:rPr/>
        <w:t>a.</w:t>
        <w:tab/>
      </w:r>
      <w:r>
        <w:rPr>
          <w:i/>
          <w:iCs/>
        </w:rPr>
        <w:t>Broad excuse from daily performance</w:t>
      </w:r>
      <w:r>
        <w:rPr/>
        <w:t xml:space="preserve"> – Tariffs generally have very broad force majeure or other performance outs; accordingly, excused from performance on any given day; action by courts/public authorities/governmental agencies likely to excuse performance under many trades </w:t>
      </w:r>
    </w:p>
    <w:p>
      <w:pPr>
        <w:pStyle w:val="Normal"/>
        <w:spacing w:before="120" w:after="0"/>
        <w:ind w:hanging="360" w:start="1440" w:end="0"/>
        <w:jc w:val="both"/>
        <w:rPr/>
      </w:pPr>
      <w:r>
        <w:rPr/>
        <w:t>b.</w:t>
        <w:tab/>
      </w:r>
      <w:r>
        <w:rPr>
          <w:i/>
          <w:iCs/>
        </w:rPr>
        <w:t>Conflicts with Tariff</w:t>
      </w:r>
      <w:r>
        <w:rPr/>
        <w:t xml:space="preserve"> – Some tariffs contain no liability for damage language that conflicts with firm deals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General Pool Activities</w:t>
      </w:r>
      <w:r>
        <w:rPr/>
        <w:t xml:space="preserve"> - Trading in all pools may be scrutinized/challenged (e.g., California, New York, NEPOOL)</w:t>
      </w:r>
    </w:p>
    <w:p>
      <w:pPr>
        <w:pStyle w:val="Heading2"/>
        <w:numPr>
          <w:ilvl w:val="2"/>
          <w:numId w:val="3"/>
        </w:numPr>
        <w:rPr/>
      </w:pPr>
      <w:r>
        <w:rPr/>
        <w:t xml:space="preserve">California 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Trading Activities</w:t>
      </w:r>
      <w:r>
        <w:rPr/>
        <w:t xml:space="preserve"> – May be scrutinized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Exposure to ISO/PX</w:t>
      </w:r>
      <w:r>
        <w:rPr/>
        <w:t xml:space="preserve"> – Applicable tariffs inadequate; significant settlement risk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Market Disruption Event</w:t>
      </w:r>
      <w:r>
        <w:rPr/>
        <w:t xml:space="preserve"> – Imposition of soft cap may be a MDE that will impact forward positions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Action by State/FERC</w:t>
      </w:r>
      <w:r>
        <w:rPr/>
        <w:t xml:space="preserve"> – Imposition of new rules to fix broken system</w:t>
      </w:r>
    </w:p>
    <w:p>
      <w:pPr>
        <w:pStyle w:val="BodyTextIndent"/>
        <w:numPr>
          <w:ilvl w:val="3"/>
          <w:numId w:val="3"/>
        </w:numPr>
        <w:tabs>
          <w:tab w:val="clear" w:pos="720"/>
        </w:tabs>
        <w:spacing w:before="120" w:after="0"/>
        <w:ind w:hanging="360" w:start="1080" w:end="0"/>
        <w:jc w:val="both"/>
        <w:rPr/>
      </w:pPr>
      <w:r>
        <w:rPr>
          <w:u w:val="single"/>
        </w:rPr>
        <w:t>Bankruptcy of State Utility</w:t>
      </w:r>
      <w:r>
        <w:rPr/>
        <w:t xml:space="preserve"> – Could result in systemic failure</w:t>
      </w:r>
    </w:p>
    <w:p>
      <w:pPr>
        <w:pStyle w:val="Normal"/>
        <w:spacing w:before="120" w:after="0"/>
        <w:ind w:start="2160" w:end="0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/mnt/main-storage/datasets/enron-docs/doc/Power_Outline.doc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upperLetter"/>
      <w:lvlText w:val="%3."/>
      <w:lvlJc w:val="start"/>
      <w:pPr>
        <w:tabs>
          <w:tab w:val="num" w:pos="2340"/>
        </w:tabs>
        <w:ind w:start="234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3"/>
      </w:numPr>
      <w:tabs>
        <w:tab w:val="clear" w:pos="720"/>
      </w:tabs>
      <w:spacing w:before="120" w:after="0"/>
      <w:ind w:hanging="360" w:start="360" w:end="0"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tabs>
        <w:tab w:val="clear" w:pos="720"/>
      </w:tabs>
      <w:spacing w:before="120" w:after="0"/>
      <w:ind w:hanging="0" w:start="720" w:end="0"/>
      <w:jc w:val="both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2160" w:end="0"/>
    </w:pPr>
    <w:rPr/>
  </w:style>
  <w:style w:type="paragraph" w:styleId="BodyTextIndent2">
    <w:name w:val="Body Text Indent 2"/>
    <w:basedOn w:val="Normal"/>
    <w:qFormat/>
    <w:pPr>
      <w:ind w:hanging="0" w:start="21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2000-12-13T12:04:00Z</dcterms:created>
  <dc:creator>bwhiteh</dc:creator>
  <dc:description/>
  <dc:language>en-CA</dc:language>
  <cp:lastModifiedBy>bwhiteh</cp:lastModifiedBy>
  <cp:lastPrinted>2000-12-13T10:23:00Z</cp:lastPrinted>
  <dcterms:modified xsi:type="dcterms:W3CDTF">2000-12-13T13:55:00Z</dcterms:modified>
  <cp:revision>3</cp:revision>
  <dc:subject/>
  <dc:title>I</dc:title>
</cp:coreProperties>
</file>