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sectPr>
          <w:headerReference w:type="default" r:id="rId2"/>
          <w:type w:val="continuous"/>
          <w:pgSz w:w="12240" w:h="15840"/>
          <w:pgMar w:left="1152" w:right="864" w:gutter="0" w:header="720" w:top="864" w:footer="0" w:bottom="864"/>
          <w:cols w:num="2" w:space="708" w:equalWidth="true" w:sep="false"/>
          <w:formProt w:val="false"/>
          <w:textDirection w:val="lrTb"/>
          <w:docGrid w:type="default" w:linePitch="360" w:charSpace="0"/>
        </w:sectPr>
      </w:pP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3"/>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1400 Smith St</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77002-7327</w:t>
            </w:r>
            <w:r>
              <w:rPr>
                <w:sz w:val="22"/>
                <w:i/>
              </w:rPr>
              <w:fldChar w:fldCharType="end"/>
            </w:r>
          </w:p>
          <w:p>
            <w:pPr>
              <w:pStyle w:val="Normal"/>
              <w:tabs>
                <w:tab w:val="clear" w:pos="720"/>
                <w:tab w:val="left" w:pos="2412" w:leader="none"/>
              </w:tabs>
              <w:ind w:start="1962" w:end="0"/>
              <w:rPr>
                <w:i/>
                <w:i/>
                <w:sz w:val="22"/>
              </w:rPr>
            </w:pPr>
            <w:r>
              <w:rPr>
                <w:i/>
                <w:sz w:val="22"/>
              </w:rPr>
              <w:t>Fax (713) 646-2491</w:t>
            </w:r>
          </w:p>
          <w:p>
            <w:pPr>
              <w:pStyle w:val="Normal"/>
              <w:tabs>
                <w:tab w:val="clear" w:pos="720"/>
                <w:tab w:val="left" w:pos="2412" w:leader="none"/>
              </w:tabs>
              <w:ind w:start="1962" w:end="0"/>
              <w:rPr>
                <w:i/>
                <w:i/>
                <w:sz w:val="22"/>
              </w:rPr>
            </w:pPr>
            <w:r>
              <w:rPr>
                <w:i/>
                <w:sz w:val="22"/>
              </w:rPr>
            </w:r>
          </w:p>
        </w:tc>
      </w:tr>
    </w:tbl>
    <w:p>
      <w:pPr>
        <w:pStyle w:val="Normal"/>
        <w:jc w:val="center"/>
        <w:rPr>
          <w:b/>
          <w:sz w:val="22"/>
        </w:rPr>
      </w:pPr>
      <w:r>
        <w:rPr>
          <w:b/>
          <w:sz w:val="22"/>
        </w:rPr>
        <w:t xml:space="preserve">CONFIRMATION </w:t>
      </w:r>
    </w:p>
    <w:p>
      <w:pPr>
        <w:pStyle w:val="Normal"/>
        <w:jc w:val="center"/>
        <w:rPr>
          <w:b/>
          <w:sz w:val="22"/>
        </w:rPr>
      </w:pPr>
      <w:r>
        <w:rPr>
          <w:b/>
          <w:sz w:val="22"/>
        </w:rPr>
        <w:t>(SWAP)</w:t>
      </w:r>
    </w:p>
    <w:p>
      <w:pPr>
        <w:pStyle w:val="Normal"/>
        <w:rPr>
          <w:b/>
          <w:sz w:val="22"/>
        </w:rPr>
      </w:pPr>
      <w:r>
        <w:rPr>
          <w:b/>
          <w:sz w:val="22"/>
        </w:rPr>
      </w:r>
    </w:p>
    <w:p>
      <w:pPr>
        <w:pStyle w:val="Normal"/>
        <w:rPr>
          <w:sz w:val="22"/>
        </w:rPr>
      </w:pPr>
      <w:r>
        <w:rPr>
          <w:sz w:val="22"/>
        </w:rPr>
        <w:t>Date:</w:t>
        <w:tab/>
        <w:tab/>
        <w:tab/>
        <w:tab/>
      </w:r>
      <w:r>
        <w:rPr>
          <w:sz w:val="22"/>
        </w:rPr>
        <w:fldChar w:fldCharType="begin"/>
      </w:r>
      <w:r>
        <w:rPr>
          <w:sz w:val="22"/>
        </w:rPr>
        <w:instrText xml:space="preserve"> MERGEFIELD DealDate </w:instrText>
      </w:r>
      <w:r>
        <w:rPr>
          <w:sz w:val="22"/>
        </w:rPr>
        <w:fldChar w:fldCharType="separate"/>
      </w:r>
      <w:r>
        <w:rPr>
          <w:sz w:val="22"/>
        </w:rPr>
        <w:t>August 3, 2001</w:t>
      </w:r>
      <w:r>
        <w:rPr>
          <w:sz w:val="22"/>
        </w:rPr>
        <w:fldChar w:fldCharType="end"/>
      </w:r>
    </w:p>
    <w:p>
      <w:pPr>
        <w:pStyle w:val="Normal"/>
        <w:rPr/>
      </w:pPr>
      <w:r>
        <w:rPr>
          <w:sz w:val="22"/>
        </w:rPr>
        <w:t>To:</w:t>
        <w:tab/>
        <w:tab/>
        <w:tab/>
        <w:tab/>
      </w:r>
      <w:r>
        <w:rPr>
          <w:sz w:val="22"/>
        </w:rPr>
        <w:fldChar w:fldCharType="begin"/>
      </w:r>
      <w:r>
        <w:rPr>
          <w:sz w:val="22"/>
        </w:rPr>
        <w:instrText xml:space="preserve"> MERGEFIELD CounterpartyName </w:instrText>
      </w:r>
      <w:r>
        <w:rPr>
          <w:sz w:val="22"/>
        </w:rPr>
        <w:fldChar w:fldCharType="separate"/>
      </w:r>
      <w:r>
        <w:rPr>
          <w:sz w:val="22"/>
        </w:rPr>
        <w:t>Ontario Power Generation Inc.</w:t>
      </w:r>
      <w:r>
        <w:rPr>
          <w:sz w:val="22"/>
        </w:rPr>
        <w:fldChar w:fldCharType="end"/>
      </w:r>
      <w:r>
        <w:rPr>
          <w:sz w:val="22"/>
        </w:rPr>
        <w:t xml:space="preserve"> (“Counterparty”)</w:t>
      </w:r>
    </w:p>
    <w:p>
      <w:pPr>
        <w:pStyle w:val="Normal"/>
        <w:rPr>
          <w:sz w:val="22"/>
        </w:rPr>
      </w:pPr>
      <w:r>
        <w:rPr>
          <w:sz w:val="22"/>
        </w:rPr>
        <w:t>Attention:</w:t>
        <w:tab/>
        <w:tab/>
        <w:tab/>
        <w:t xml:space="preserve">Documentation Department </w:t>
      </w:r>
    </w:p>
    <w:p>
      <w:pPr>
        <w:pStyle w:val="Normal"/>
        <w:rPr>
          <w:sz w:val="22"/>
        </w:rPr>
      </w:pPr>
      <w:r>
        <w:rPr>
          <w:sz w:val="22"/>
        </w:rPr>
        <w:t>Fax No.:</w:t>
        <w:tab/>
        <w:tab/>
        <w:tab/>
        <w:t>(416) 592-4518</w:t>
      </w:r>
    </w:p>
    <w:p>
      <w:pPr>
        <w:pStyle w:val="Normal"/>
        <w:rPr/>
      </w:pPr>
      <w:r>
        <w:rPr>
          <w:sz w:val="22"/>
        </w:rPr>
        <w:t>From:</w:t>
        <w:tab/>
        <w:tab/>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(“ENA”)</w:t>
      </w:r>
    </w:p>
    <w:p>
      <w:pPr>
        <w:pStyle w:val="Normal"/>
        <w:rPr>
          <w:sz w:val="22"/>
        </w:rPr>
      </w:pPr>
      <w:r>
        <w:rPr>
          <w:sz w:val="22"/>
        </w:rPr>
        <w:t>Re:</w:t>
        <w:tab/>
        <w:tab/>
        <w:tab/>
        <w:tab/>
        <w:t xml:space="preserve">Commodity Swap </w:t>
      </w:r>
      <w:r>
        <w:rPr>
          <w:sz w:val="22"/>
        </w:rPr>
        <w:fldChar w:fldCharType="begin"/>
      </w:r>
      <w:r>
        <w:rPr>
          <w:sz w:val="22"/>
        </w:rPr>
        <w:instrText xml:space="preserve"> MERGEFIELD DealNumber </w:instrText>
      </w:r>
      <w:r>
        <w:rPr>
          <w:sz w:val="22"/>
        </w:rPr>
        <w:fldChar w:fldCharType="separate"/>
      </w:r>
      <w:r>
        <w:rPr>
          <w:sz w:val="22"/>
        </w:rPr>
        <w:t>717992.01</w:t>
      </w:r>
      <w:r>
        <w:rPr>
          <w:sz w:val="22"/>
        </w:rPr>
        <w:fldChar w:fldCharType="end"/>
      </w:r>
    </w:p>
    <w:p>
      <w:pPr>
        <w:pStyle w:val="Normal"/>
        <w:rPr>
          <w:sz w:val="22"/>
        </w:rPr>
      </w:pPr>
      <w:r>
        <w:rPr>
          <w:sz w:val="22"/>
        </w:rPr>
      </w:r>
    </w:p>
    <w:p>
      <w:pPr>
        <w:pStyle w:val="Normal"/>
        <w:jc w:val="both"/>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jc w:val="both"/>
        <w:rPr>
          <w:sz w:val="22"/>
        </w:rPr>
      </w:pPr>
      <w:r>
        <w:rPr>
          <w:sz w:val="22"/>
        </w:rPr>
      </w:r>
    </w:p>
    <w:p>
      <w:pPr>
        <w:pStyle w:val="Normal"/>
        <w:rPr/>
      </w:pPr>
      <w:r>
        <w:rPr/>
        <w:t>General Terms:</w:t>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Notional Quantity per</w:t>
            </w:r>
          </w:p>
          <w:p>
            <w:pPr>
              <w:pStyle w:val="Normal"/>
              <w:ind w:start="720" w:end="0"/>
              <w:rPr>
                <w:sz w:val="22"/>
              </w:rPr>
            </w:pPr>
            <w:r>
              <w:rPr>
                <w:sz w:val="22"/>
              </w:rPr>
              <w:t>Determination Period:</w:t>
            </w:r>
          </w:p>
        </w:tc>
        <w:tc>
          <w:tcPr>
            <w:tcW w:w="6102" w:type="dxa"/>
            <w:tcBorders/>
          </w:tcPr>
          <w:p>
            <w:pPr>
              <w:pStyle w:val="Normal"/>
              <w:snapToGrid w:val="false"/>
              <w:jc w:val="both"/>
              <w:rPr>
                <w:sz w:val="22"/>
              </w:rPr>
            </w:pPr>
            <w:r>
              <w:rPr>
                <w:sz w:val="22"/>
              </w:rPr>
            </w:r>
          </w:p>
          <w:p>
            <w:pPr>
              <w:pStyle w:val="Normal"/>
              <w:jc w:val="both"/>
              <w:rPr/>
            </w:pPr>
            <w:r>
              <w:rPr>
                <w:sz w:val="22"/>
              </w:rPr>
              <w:fldChar w:fldCharType="begin"/>
            </w:r>
            <w:r>
              <w:rPr>
                <w:sz w:val="22"/>
              </w:rPr>
              <w:instrText xml:space="preserve"> MERGEFIELD QuantityPerHour </w:instrText>
            </w:r>
            <w:r>
              <w:rPr>
                <w:sz w:val="22"/>
              </w:rPr>
              <w:fldChar w:fldCharType="separate"/>
            </w:r>
            <w:r>
              <w:rPr>
                <w:sz w:val="22"/>
              </w:rPr>
              <w:t>100</w:t>
            </w:r>
            <w:r>
              <w:rPr>
                <w:sz w:val="22"/>
              </w:rPr>
              <w:fldChar w:fldCharType="end"/>
            </w:r>
            <w:r>
              <w:rPr/>
              <w:t xml:space="preserve"> </w:t>
            </w:r>
            <w:r>
              <w:rPr>
                <w:sz w:val="22"/>
              </w:rPr>
              <w:t>MWs per hour for each hour during the Determination Period.</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w:t>
              <w:tab/>
            </w:r>
          </w:p>
        </w:tc>
        <w:tc>
          <w:tcPr>
            <w:tcW w:w="6102" w:type="dxa"/>
            <w:tcBorders/>
          </w:tcPr>
          <w:p>
            <w:pPr>
              <w:pStyle w:val="Normal"/>
              <w:jc w:val="both"/>
              <w:rPr>
                <w:sz w:val="22"/>
              </w:rPr>
            </w:pPr>
            <w:r>
              <w:rPr>
                <w:sz w:val="22"/>
              </w:rPr>
              <w:fldChar w:fldCharType="begin"/>
            </w:r>
            <w:r>
              <w:rPr>
                <w:sz w:val="22"/>
              </w:rPr>
              <w:instrText xml:space="preserve"> MERGEFIELD CommodityName </w:instrText>
            </w:r>
            <w:r>
              <w:rPr>
                <w:sz w:val="22"/>
              </w:rPr>
              <w:fldChar w:fldCharType="separate"/>
            </w:r>
            <w:r>
              <w:rPr>
                <w:sz w:val="22"/>
              </w:rPr>
              <w:t>Electricity/MWh</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 Unit:</w:t>
            </w:r>
          </w:p>
        </w:tc>
        <w:tc>
          <w:tcPr>
            <w:tcW w:w="6102" w:type="dxa"/>
            <w:tcBorders/>
          </w:tcPr>
          <w:p>
            <w:pPr>
              <w:pStyle w:val="Normal"/>
              <w:jc w:val="both"/>
              <w:rPr>
                <w:sz w:val="22"/>
              </w:rPr>
            </w:pPr>
            <w:r>
              <w:rPr>
                <w:sz w:val="22"/>
              </w:rPr>
              <w:fldChar w:fldCharType="begin"/>
            </w:r>
            <w:r>
              <w:rPr>
                <w:sz w:val="22"/>
              </w:rPr>
              <w:instrText xml:space="preserve"> MERGEFIELD UnitOfMeasure </w:instrText>
            </w:r>
            <w:r>
              <w:rPr>
                <w:sz w:val="22"/>
              </w:rPr>
              <w:fldChar w:fldCharType="separate"/>
            </w:r>
            <w:r>
              <w:rPr>
                <w:sz w:val="22"/>
              </w:rPr>
              <w:t>MWh (Megawatt hours)</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Trade Date:</w:t>
            </w:r>
          </w:p>
        </w:tc>
        <w:tc>
          <w:tcPr>
            <w:tcW w:w="6102" w:type="dxa"/>
            <w:tcBorders/>
          </w:tcPr>
          <w:p>
            <w:pPr>
              <w:pStyle w:val="Normal"/>
              <w:jc w:val="both"/>
              <w:rPr>
                <w:sz w:val="22"/>
              </w:rPr>
            </w:pPr>
            <w:r>
              <w:rPr>
                <w:sz w:val="22"/>
              </w:rPr>
              <w:fldChar w:fldCharType="begin"/>
            </w:r>
            <w:r>
              <w:rPr>
                <w:sz w:val="22"/>
              </w:rPr>
              <w:instrText xml:space="preserve"> MERGEFIELD DealDate </w:instrText>
            </w:r>
            <w:r>
              <w:rPr>
                <w:sz w:val="22"/>
              </w:rPr>
              <w:fldChar w:fldCharType="separate"/>
            </w:r>
            <w:r>
              <w:rPr>
                <w:sz w:val="22"/>
              </w:rPr>
              <w:t>August 3, 2001</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Effective Date:</w:t>
              <w:tab/>
            </w:r>
          </w:p>
        </w:tc>
        <w:tc>
          <w:tcPr>
            <w:tcW w:w="6102" w:type="dxa"/>
            <w:tcBorders/>
          </w:tcPr>
          <w:p>
            <w:pPr>
              <w:pStyle w:val="Normal"/>
              <w:jc w:val="both"/>
              <w:rPr>
                <w:sz w:val="22"/>
              </w:rPr>
            </w:pPr>
            <w:r>
              <w:rPr>
                <w:sz w:val="22"/>
              </w:rPr>
              <w:fldChar w:fldCharType="begin"/>
            </w:r>
            <w:r>
              <w:rPr>
                <w:sz w:val="22"/>
              </w:rPr>
              <w:instrText xml:space="preserve"> MERGEFIELD TransStartDate </w:instrText>
            </w:r>
            <w:r>
              <w:rPr>
                <w:sz w:val="22"/>
              </w:rPr>
              <w:fldChar w:fldCharType="separate"/>
            </w:r>
            <w:r>
              <w:rPr>
                <w:sz w:val="22"/>
              </w:rPr>
              <w:t>August 7, 2001</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Termination Date:</w:t>
            </w:r>
          </w:p>
        </w:tc>
        <w:tc>
          <w:tcPr>
            <w:tcW w:w="6102" w:type="dxa"/>
            <w:tcBorders/>
          </w:tcPr>
          <w:p>
            <w:pPr>
              <w:pStyle w:val="Normal"/>
              <w:jc w:val="both"/>
              <w:rPr>
                <w:sz w:val="22"/>
              </w:rPr>
            </w:pPr>
            <w:r>
              <w:rPr>
                <w:sz w:val="22"/>
              </w:rPr>
              <w:fldChar w:fldCharType="begin"/>
            </w:r>
            <w:r>
              <w:rPr>
                <w:sz w:val="22"/>
              </w:rPr>
              <w:instrText xml:space="preserve"> MERGEFIELD TransStopDate </w:instrText>
            </w:r>
            <w:r>
              <w:rPr>
                <w:sz w:val="22"/>
              </w:rPr>
              <w:fldChar w:fldCharType="separate"/>
            </w:r>
            <w:r>
              <w:rPr>
                <w:sz w:val="22"/>
              </w:rPr>
              <w:t>August 10, 2001</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Determination Period(s):</w:t>
            </w:r>
          </w:p>
        </w:tc>
        <w:tc>
          <w:tcPr>
            <w:tcW w:w="6102" w:type="dxa"/>
            <w:tcBorders/>
          </w:tcPr>
          <w:p>
            <w:pPr>
              <w:pStyle w:val="Normal"/>
              <w:jc w:val="both"/>
              <w:rPr>
                <w:sz w:val="22"/>
              </w:rPr>
            </w:pPr>
            <w:r>
              <w:rPr>
                <w:sz w:val="22"/>
              </w:rPr>
              <w:fldChar w:fldCharType="begin"/>
            </w:r>
            <w:r>
              <w:rPr>
                <w:sz w:val="22"/>
              </w:rPr>
              <w:instrText xml:space="preserve"> MERGEFIELD Term </w:instrText>
            </w:r>
            <w:r>
              <w:rPr>
                <w:sz w:val="22"/>
              </w:rPr>
              <w:fldChar w:fldCharType="separate"/>
            </w:r>
            <w:r>
              <w:rPr>
                <w:sz w:val="22"/>
              </w:rPr>
              <w:t xml:space="preserve">Tuesday, August 7, 2001 through Friday, August 10, 2001. </w:t>
              <w:t xml:space="preserve">Hour Ending (HE) 0800 through HE 2300 (16 Hours each day), </w:t>
              <w:t xml:space="preserve">Monday through Friday only, excluding holidays of the North American Electric Reliability Council; Eastern Prevailing Time. </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Payment Date(s):</w:t>
            </w:r>
          </w:p>
        </w:tc>
        <w:tc>
          <w:tcPr>
            <w:tcW w:w="6102" w:type="dxa"/>
            <w:tcBorders/>
          </w:tcPr>
          <w:p>
            <w:pPr>
              <w:pStyle w:val="Normal"/>
              <w:jc w:val="both"/>
              <w:rPr>
                <w:sz w:val="22"/>
              </w:rPr>
            </w:pPr>
            <w:r>
              <w:rPr>
                <w:sz w:val="22"/>
              </w:rPr>
              <w:t>The fifth (5th) Business Day following the last day of the month that includes the Determination Period.</w:t>
            </w:r>
          </w:p>
        </w:tc>
      </w:tr>
    </w:tbl>
    <w:p>
      <w:pPr>
        <w:pStyle w:val="Normal"/>
        <w:rPr>
          <w:b/>
          <w:sz w:val="22"/>
        </w:rPr>
      </w:pPr>
      <w:r>
        <w:rPr>
          <w:b/>
          <w:sz w:val="22"/>
        </w:rPr>
      </w:r>
    </w:p>
    <w:p>
      <w:pPr>
        <w:pStyle w:val="Normal"/>
        <w:rPr>
          <w:b/>
          <w:sz w:val="22"/>
        </w:rPr>
      </w:pPr>
      <w:r>
        <w:rPr>
          <w:b/>
          <w:sz w:val="22"/>
        </w:rPr>
        <w:t>Fixed Amount Details:</w:t>
      </w:r>
    </w:p>
    <w:p>
      <w:pPr>
        <w:pStyle w:val="Normal"/>
        <w:rPr>
          <w:b/>
          <w:sz w:val="22"/>
        </w:rPr>
      </w:pPr>
      <w:r>
        <w:rPr>
          <w:b/>
          <w:sz w:val="22"/>
        </w:rPr>
      </w:r>
    </w:p>
    <w:p>
      <w:pPr>
        <w:pStyle w:val="Normal"/>
        <w:jc w:val="both"/>
        <w:rPr>
          <w:sz w:val="22"/>
        </w:rPr>
      </w:pPr>
      <w:r>
        <w:rPr>
          <w:sz w:val="22"/>
        </w:rPr>
        <w:tab/>
        <w:t>Fixed Price Payor:</w:t>
        <w:tab/>
        <w:tab/>
        <w:tab/>
      </w:r>
      <w:r>
        <w:rPr>
          <w:sz w:val="22"/>
        </w:rPr>
        <w:fldChar w:fldCharType="begin"/>
      </w:r>
      <w:r>
        <w:rPr>
          <w:sz w:val="22"/>
        </w:rPr>
        <w:instrText xml:space="preserve"> MERGEFIELD FixedPayerWCP </w:instrText>
      </w:r>
      <w:r>
        <w:rPr>
          <w:sz w:val="22"/>
        </w:rPr>
        <w:fldChar w:fldCharType="separate"/>
      </w:r>
      <w:r>
        <w:rPr>
          <w:sz w:val="22"/>
        </w:rPr>
        <w:t>Counterparty</w:t>
      </w:r>
      <w:r>
        <w:rPr>
          <w:sz w:val="22"/>
        </w:rPr>
        <w:fldChar w:fldCharType="end"/>
      </w:r>
    </w:p>
    <w:p>
      <w:pPr>
        <w:pStyle w:val="Normal"/>
        <w:rPr>
          <w:sz w:val="22"/>
        </w:rPr>
      </w:pPr>
      <w:r>
        <w:rPr>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Fixed Price:</w:t>
            </w:r>
          </w:p>
        </w:tc>
        <w:tc>
          <w:tcPr>
            <w:tcW w:w="6102"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US Dollars $62.00/MWh.</w:t>
            </w:r>
            <w:r>
              <w:rPr>
                <w:sz w:val="22"/>
              </w:rPr>
              <w:fldChar w:fldCharType="end"/>
            </w:r>
          </w:p>
        </w:tc>
      </w:tr>
    </w:tbl>
    <w:p>
      <w:pPr>
        <w:pStyle w:val="Normal"/>
        <w:rPr>
          <w:b/>
          <w:sz w:val="22"/>
        </w:rPr>
      </w:pPr>
      <w:r>
        <w:rPr>
          <w:b/>
          <w:sz w:val="22"/>
        </w:rPr>
      </w:r>
    </w:p>
    <w:p>
      <w:pPr>
        <w:pStyle w:val="Normal"/>
        <w:rPr>
          <w:b/>
          <w:sz w:val="22"/>
        </w:rPr>
      </w:pPr>
      <w:r>
        <w:rPr>
          <w:b/>
          <w:sz w:val="22"/>
        </w:rPr>
        <w:t>Floating Amount Details:</w:t>
      </w:r>
    </w:p>
    <w:p>
      <w:pPr>
        <w:pStyle w:val="Normal"/>
        <w:rPr>
          <w:b/>
          <w:sz w:val="22"/>
        </w:rPr>
      </w:pPr>
      <w:r>
        <w:rPr>
          <w:b/>
          <w:sz w:val="22"/>
        </w:rPr>
      </w:r>
    </w:p>
    <w:p>
      <w:pPr>
        <w:pStyle w:val="Normal"/>
        <w:jc w:val="both"/>
        <w:rPr>
          <w:sz w:val="22"/>
        </w:rPr>
      </w:pPr>
      <w:r>
        <w:rPr>
          <w:sz w:val="22"/>
        </w:rPr>
        <w:tab/>
        <w:t>Floating Price Payor:</w:t>
        <w:tab/>
        <w:tab/>
        <w:tab/>
      </w:r>
      <w:r>
        <w:rPr>
          <w:sz w:val="22"/>
        </w:rPr>
        <w:fldChar w:fldCharType="begin"/>
      </w:r>
      <w:r>
        <w:rPr>
          <w:sz w:val="22"/>
        </w:rPr>
        <w:instrText xml:space="preserve"> MERGEFIELD FloatPayerWCP </w:instrText>
      </w:r>
      <w:r>
        <w:rPr>
          <w:sz w:val="22"/>
        </w:rPr>
        <w:fldChar w:fldCharType="separate"/>
      </w:r>
      <w:r>
        <w:rPr>
          <w:sz w:val="22"/>
        </w:rPr>
        <w:t>ENA</w:t>
      </w:r>
      <w:r>
        <w:rPr>
          <w:sz w:val="22"/>
        </w:rPr>
        <w:fldChar w:fldCharType="end"/>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Floating Price:</w:t>
            </w:r>
          </w:p>
        </w:tc>
        <w:tc>
          <w:tcPr>
            <w:tcW w:w="6102" w:type="dxa"/>
            <w:tcBorders/>
          </w:tcPr>
          <w:p>
            <w:pPr>
              <w:pStyle w:val="Normal"/>
              <w:rPr>
                <w:sz w:val="22"/>
              </w:rPr>
            </w:pPr>
            <w:r>
              <w:rPr>
                <w:sz w:val="22"/>
              </w:rPr>
              <w:fldChar w:fldCharType="begin"/>
            </w:r>
            <w:r>
              <w:rPr>
                <w:sz w:val="22"/>
              </w:rPr>
              <w:instrText xml:space="preserve"> MERGEFIELD FloatPrice </w:instrText>
            </w:r>
            <w:r>
              <w:rPr>
                <w:sz w:val="22"/>
              </w:rPr>
              <w:fldChar w:fldCharType="separate"/>
            </w:r>
            <w:r>
              <w:rPr>
                <w:sz w:val="22"/>
              </w:rPr>
              <w:t>The hourly-weighted average of the hourly day-ahead prices as published by the New York Independent System Operator (the “NYISO”) on the NYISO’s official web site currently located at www.nyiso.com/oasis/index.html, or any successor thereto, under the headings “Day Ahead Market LBMP - Zonal; LBMP ($/MWHr); West (61752)” (Zone A) for electricity delivered during the applicable Determination Period.</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sz w:val="22"/>
              </w:rPr>
            </w:pPr>
            <w:r>
              <w:rPr>
                <w:b/>
                <w:sz w:val="22"/>
              </w:rPr>
              <w:t>Contractual Currency:</w:t>
            </w:r>
          </w:p>
        </w:tc>
        <w:tc>
          <w:tcPr>
            <w:tcW w:w="6102" w:type="dxa"/>
            <w:tcBorders/>
          </w:tcPr>
          <w:p>
            <w:pPr>
              <w:pStyle w:val="Normal"/>
              <w:jc w:val="both"/>
              <w:rPr>
                <w:sz w:val="22"/>
              </w:rPr>
            </w:pPr>
            <w:r>
              <w:rPr>
                <w:sz w:val="22"/>
              </w:rPr>
              <w:fldChar w:fldCharType="begin"/>
            </w:r>
            <w:r>
              <w:rPr>
                <w:sz w:val="22"/>
              </w:rPr>
              <w:instrText xml:space="preserve"> MERGEFIELD CurrencyDesc </w:instrText>
            </w:r>
            <w:r>
              <w:rPr>
                <w:sz w:val="22"/>
              </w:rPr>
              <w:fldChar w:fldCharType="separate"/>
            </w:r>
            <w:r>
              <w:rPr>
                <w:sz w:val="22"/>
              </w:rPr>
              <w:t>US Dollars</w:t>
            </w:r>
            <w:r>
              <w:rPr>
                <w:sz w:val="22"/>
              </w:rPr>
              <w:fldChar w:fldCharType="end"/>
            </w:r>
          </w:p>
        </w:tc>
      </w:tr>
    </w:tbl>
    <w:p>
      <w:pPr>
        <w:pStyle w:val="Normal"/>
        <w:rPr>
          <w:b/>
          <w:sz w:val="22"/>
        </w:rPr>
      </w:pPr>
      <w:r>
        <w:rPr>
          <w:b/>
          <w:sz w:val="22"/>
        </w:rPr>
      </w:r>
    </w:p>
    <w:p>
      <w:pPr>
        <w:pStyle w:val="Normal"/>
        <w:jc w:val="both"/>
        <w:rPr/>
      </w:pPr>
      <w:r>
        <w:rPr>
          <w:b/>
          <w:sz w:val="22"/>
        </w:rPr>
        <w:t>Governing Law:</w:t>
      </w:r>
      <w:r>
        <w:rPr>
          <w:sz w:val="22"/>
        </w:rPr>
        <w:tab/>
        <w:tab/>
        <w:tab/>
        <w:tab/>
        <w:t>Texas</w:t>
      </w:r>
    </w:p>
    <w:p>
      <w:pPr>
        <w:pStyle w:val="Normal"/>
        <w:tabs>
          <w:tab w:val="left" w:pos="720" w:leader="none"/>
          <w:tab w:val="left" w:pos="4320" w:leader="none"/>
        </w:tabs>
        <w:jc w:val="both"/>
        <w:rPr>
          <w:b/>
          <w:sz w:val="22"/>
        </w:rPr>
      </w:pPr>
      <w:r>
        <w:rPr>
          <w:b/>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b/>
                <w:sz w:val="22"/>
              </w:rPr>
            </w:pPr>
            <w:r>
              <w:rPr>
                <w:b/>
                <w:sz w:val="22"/>
              </w:rPr>
              <w:t>General Terms and Conditions</w:t>
            </w:r>
          </w:p>
          <w:p>
            <w:pPr>
              <w:pStyle w:val="Normal"/>
              <w:rPr>
                <w:sz w:val="22"/>
              </w:rPr>
            </w:pPr>
            <w:r>
              <w:rPr>
                <w:b/>
                <w:sz w:val="22"/>
              </w:rPr>
              <w:t>of Confirmations:</w:t>
            </w:r>
          </w:p>
        </w:tc>
        <w:tc>
          <w:tcPr>
            <w:tcW w:w="6102" w:type="dxa"/>
            <w:tcBorders/>
          </w:tcPr>
          <w:p>
            <w:pPr>
              <w:pStyle w:val="Normal"/>
              <w:snapToGrid w:val="false"/>
              <w:jc w:val="both"/>
              <w:rPr>
                <w:sz w:val="22"/>
              </w:rPr>
            </w:pPr>
            <w:r>
              <w:rPr>
                <w:sz w:val="22"/>
              </w:rPr>
            </w:r>
          </w:p>
          <w:p>
            <w:pPr>
              <w:pStyle w:val="Normal"/>
              <w:jc w:val="both"/>
              <w:rPr/>
            </w:pPr>
            <w:r>
              <w:rPr>
                <w:sz w:val="22"/>
              </w:rPr>
              <w:t>The general terms and conditions contained in Annex A, and Annex B</w:t>
            </w:r>
            <w:r>
              <w:rPr>
                <w:b/>
                <w:sz w:val="22"/>
              </w:rPr>
              <w:t xml:space="preserve"> </w:t>
            </w:r>
            <w:r>
              <w:rPr>
                <w:sz w:val="22"/>
              </w:rPr>
              <w:t>attached hereto and made a part hereof apply and are incorporated herein by reference</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jc w:val="both"/>
              <w:rPr>
                <w:sz w:val="22"/>
              </w:rPr>
            </w:pPr>
            <w:r>
              <w:rPr>
                <w:sz w:val="22"/>
              </w:rPr>
              <w:t xml:space="preserve">          </w:t>
            </w:r>
            <w:r>
              <w:rPr>
                <w:sz w:val="22"/>
              </w:rPr>
              <w:fldChar w:fldCharType="begin"/>
            </w:r>
            <w:r>
              <w:rPr>
                <w:sz w:val="22"/>
              </w:rPr>
              <w:instrText xml:space="preserve"> MERGEFIELD Rounding </w:instrText>
            </w:r>
            <w:r>
              <w:rPr>
                <w:sz w:val="22"/>
              </w:rPr>
              <w:fldChar w:fldCharType="separate"/>
            </w:r>
            <w:r>
              <w:rPr>
                <w:sz w:val="22"/>
              </w:rPr>
              <w:t>For the purposes of the calculation of the Floating Price(s),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r>
            <w:r>
              <w:rPr>
                <w:sz w:val="22"/>
              </w:rPr>
              <w:fldChar w:fldCharType="end"/>
            </w:r>
          </w:p>
          <w:p>
            <w:pPr>
              <w:pStyle w:val="Normal"/>
              <w:jc w:val="both"/>
              <w:rPr>
                <w:sz w:val="22"/>
              </w:rPr>
            </w:pPr>
            <w:r>
              <w:rPr>
                <w:sz w:val="22"/>
              </w:rPr>
            </w:r>
          </w:p>
          <w:p>
            <w:pPr>
              <w:pStyle w:val="Normal"/>
              <w:jc w:val="both"/>
              <w:rPr>
                <w:sz w:val="22"/>
              </w:rPr>
            </w:pPr>
            <w:r>
              <w:rPr>
                <w:sz w:val="22"/>
              </w:rPr>
              <w:t>For purposes of determining the relevant prices for any day, if the price published or announced on a given day and used or to be used by ENA to determine a relevant price is subsequently corrected and the correction is published or announced by the person responsible for that publication or announcement within thirty (30) calendar days of the original publication or announcement, either party may notify the other party of (i) that correction and (ii) the amount (if any) that is payable as a result of that correction.  If, not later than thirty (30) calendar days after publication or announcement of that correction, a party gives notice that an amount is so payable, the party that originally either received or retained such amount will, not later that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 period.</w:t>
            </w:r>
          </w:p>
        </w:tc>
      </w:tr>
    </w:tbl>
    <w:p>
      <w:pPr>
        <w:pStyle w:val="Normal"/>
        <w:jc w:val="both"/>
        <w:rPr>
          <w:sz w:val="22"/>
        </w:rPr>
      </w:pPr>
      <w:r>
        <w:rPr>
          <w:sz w:val="22"/>
        </w:rPr>
      </w:r>
    </w:p>
    <w:p>
      <w:pPr>
        <w:pStyle w:val="Normal"/>
        <w:tabs>
          <w:tab w:val="left" w:pos="720" w:leader="none"/>
        </w:tabs>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tabs>
          <w:tab w:val="left" w:pos="720" w:leader="none"/>
        </w:tabs>
        <w:jc w:val="both"/>
        <w:rPr>
          <w:sz w:val="22"/>
        </w:rPr>
      </w:pPr>
      <w:r>
        <w:rPr>
          <w:sz w:val="22"/>
        </w:rPr>
        <w:tab/>
        <w:t>Each party represents to the other party that on the date a Transaction is entered into: (i) such Transaction shall constitute an “OTC Derivative” as defined in paragraph 4 of the Alberta Securities Commission Order Doc#394043 and paragraph 1.1 of the British Columbia Securities Commission Blanket Order BOR#91-501(BC) and it is a “Qualified Party” within the meaning of paragraph 9.1 and 1.1 of such orders, respectively, as in effect on the date hereof.</w:t>
      </w:r>
    </w:p>
    <w:p>
      <w:pPr>
        <w:pStyle w:val="Normal"/>
        <w:jc w:val="both"/>
        <w:rPr>
          <w:sz w:val="22"/>
        </w:rPr>
      </w:pPr>
      <w:r>
        <w:rPr>
          <w:sz w:val="22"/>
        </w:rPr>
      </w:r>
    </w:p>
    <w:p>
      <w:pPr>
        <w:pStyle w:val="Normal"/>
        <w:ind w:firstLine="720" w:end="0"/>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rPr>
          <w:sz w:val="22"/>
        </w:rPr>
      </w:pPr>
      <w:r>
        <w:rPr>
          <w:sz w:val="22"/>
        </w:rPr>
      </w:r>
    </w:p>
    <w:p>
      <w:pPr>
        <w:pStyle w:val="Normal"/>
        <w:rPr>
          <w:sz w:val="22"/>
        </w:rPr>
      </w:pPr>
      <w:r>
        <w:rPr>
          <w:sz w:val="22"/>
        </w:rPr>
        <w:t>Sincerely,</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tc>
        <w:tc>
          <w:tcPr>
            <w:tcW w:w="6012" w:type="dxa"/>
            <w:tcBorders/>
          </w:tcPr>
          <w:p>
            <w:pPr>
              <w:pStyle w:val="Normal"/>
              <w:rPr>
                <w:sz w:val="22"/>
              </w:rPr>
            </w:pPr>
            <w:r>
              <w:rPr>
                <w:sz w:val="22"/>
              </w:rPr>
              <w:fldChar w:fldCharType="begin"/>
            </w:r>
            <w:r>
              <w:rPr>
                <w:sz w:val="22"/>
              </w:rPr>
              <w:instrText xml:space="preserve"> MERGEFIELD CounterpartyName </w:instrText>
            </w:r>
            <w:r>
              <w:rPr>
                <w:sz w:val="22"/>
              </w:rPr>
              <w:fldChar w:fldCharType="separate"/>
            </w:r>
            <w:r>
              <w:rPr>
                <w:sz w:val="22"/>
              </w:rPr>
              <w:t>Ontario Power Generation Inc.</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t xml:space="preserve">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tc>
        <w:tc>
          <w:tcPr>
            <w:tcW w:w="6012" w:type="dxa"/>
            <w:tcBorders/>
          </w:tcPr>
          <w:p>
            <w:pPr>
              <w:pStyle w:val="Normal"/>
              <w:snapToGrid w:val="false"/>
              <w:rPr>
                <w:sz w:val="22"/>
              </w:rPr>
            </w:pPr>
            <w:r>
              <w:rPr>
                <w:sz w:val="22"/>
              </w:rPr>
            </w:r>
          </w:p>
        </w:tc>
      </w:tr>
      <w:tr>
        <w:trPr/>
        <w:tc>
          <w:tcPr>
            <w:tcW w:w="4428" w:type="dxa"/>
            <w:tcBorders/>
          </w:tcPr>
          <w:p>
            <w:pPr>
              <w:pStyle w:val="Normal"/>
              <w:rPr>
                <w:sz w:val="22"/>
              </w:rPr>
            </w:pPr>
            <w:r>
              <w:rPr>
                <w:sz w:val="22"/>
              </w:rPr>
              <w:t>By:</w:t>
            </w:r>
          </w:p>
        </w:tc>
        <w:tc>
          <w:tcPr>
            <w:tcW w:w="6012" w:type="dxa"/>
            <w:tcBorders/>
          </w:tcPr>
          <w:p>
            <w:pPr>
              <w:pStyle w:val="Normal"/>
              <w:rPr>
                <w:sz w:val="22"/>
                <w:u w:val="single"/>
              </w:rPr>
            </w:pPr>
            <w:r>
              <w:rPr>
                <w:sz w:val="22"/>
              </w:rPr>
              <w:t>By: ____________________________</w:t>
            </w:r>
          </w:p>
        </w:tc>
      </w:tr>
      <w:tr>
        <w:trPr/>
        <w:tc>
          <w:tcPr>
            <w:tcW w:w="4428" w:type="dxa"/>
            <w:tcBorders/>
          </w:tcPr>
          <w:p>
            <w:pPr>
              <w:pStyle w:val="Normal"/>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M.D. Davis, Jr.</w:t>
            </w:r>
            <w:r>
              <w:rPr>
                <w:sz w:val="22"/>
              </w:rPr>
              <w:fldChar w:fldCharType="end"/>
            </w:r>
          </w:p>
        </w:tc>
        <w:tc>
          <w:tcPr>
            <w:tcW w:w="6012" w:type="dxa"/>
            <w:tcBorders/>
          </w:tcPr>
          <w:p>
            <w:pPr>
              <w:pStyle w:val="Normal"/>
              <w:rPr>
                <w:sz w:val="22"/>
              </w:rPr>
            </w:pPr>
            <w:r>
              <w:rPr>
                <w:sz w:val="22"/>
              </w:rPr>
              <w:t>Name:  _________________________</w:t>
            </w:r>
          </w:p>
        </w:tc>
      </w:tr>
      <w:tr>
        <w:trPr/>
        <w:tc>
          <w:tcPr>
            <w:tcW w:w="4428" w:type="dxa"/>
            <w:tcBorders/>
          </w:tcPr>
          <w:p>
            <w:pPr>
              <w:pStyle w:val="Normal"/>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Vice President</w:t>
            </w:r>
            <w:r>
              <w:rPr>
                <w:sz w:val="22"/>
              </w:rPr>
              <w:fldChar w:fldCharType="end"/>
            </w:r>
          </w:p>
        </w:tc>
        <w:tc>
          <w:tcPr>
            <w:tcW w:w="6012" w:type="dxa"/>
            <w:tcBorders/>
          </w:tcPr>
          <w:p>
            <w:pPr>
              <w:pStyle w:val="Normal"/>
              <w:rPr>
                <w:sz w:val="22"/>
              </w:rPr>
            </w:pPr>
            <w:r>
              <w:rPr>
                <w:sz w:val="22"/>
              </w:rPr>
              <w:t>Title:  __________________________</w:t>
            </w:r>
          </w:p>
        </w:tc>
      </w:tr>
      <w:tr>
        <w:trPr/>
        <w:tc>
          <w:tcPr>
            <w:tcW w:w="4428" w:type="dxa"/>
            <w:tcBorders/>
          </w:tcPr>
          <w:p>
            <w:pPr>
              <w:pStyle w:val="Normal"/>
              <w:rPr>
                <w:sz w:val="22"/>
              </w:rPr>
            </w:pPr>
            <w:r>
              <w:rPr>
                <w:sz w:val="22"/>
              </w:rPr>
              <w:t xml:space="preserve">Date:    </w:t>
            </w:r>
            <w:r>
              <w:rPr>
                <w:sz w:val="22"/>
              </w:rPr>
              <w:fldChar w:fldCharType="begin"/>
            </w:r>
            <w:r>
              <w:rPr>
                <w:sz w:val="22"/>
              </w:rPr>
              <w:instrText xml:space="preserve"> MERGEFIELD DateToday </w:instrText>
            </w:r>
            <w:r>
              <w:rPr>
                <w:sz w:val="22"/>
              </w:rPr>
              <w:fldChar w:fldCharType="separate"/>
            </w:r>
            <w:r>
              <w:rPr>
                <w:sz w:val="22"/>
              </w:rPr>
              <w:t>September 28, 2001</w:t>
            </w:r>
            <w:r>
              <w:rPr>
                <w:sz w:val="22"/>
              </w:rPr>
              <w:fldChar w:fldCharType="end"/>
            </w:r>
          </w:p>
        </w:tc>
        <w:tc>
          <w:tcPr>
            <w:tcW w:w="6012" w:type="dxa"/>
            <w:tcBorders/>
          </w:tcPr>
          <w:p>
            <w:pPr>
              <w:pStyle w:val="Normal"/>
              <w:rPr>
                <w:sz w:val="22"/>
              </w:rPr>
            </w:pPr>
            <w:r>
              <w:rPr>
                <w:sz w:val="22"/>
              </w:rPr>
              <w:t>Date:  __________________________</w:t>
            </w:r>
          </w:p>
        </w:tc>
      </w:tr>
    </w:tbl>
    <w:p>
      <w:pPr>
        <w:pStyle w:val="Normal"/>
        <w:rPr>
          <w:b/>
          <w:sz w:val="22"/>
        </w:rPr>
      </w:pPr>
      <w:r>
        <w:rPr>
          <w:b/>
          <w:sz w:val="22"/>
        </w:rPr>
      </w:r>
    </w:p>
    <w:p>
      <w:pPr>
        <w:pStyle w:val="Normal"/>
        <w:jc w:val="both"/>
        <w:rPr>
          <w:b/>
          <w:sz w:val="22"/>
        </w:rPr>
      </w:pPr>
      <w:r>
        <w:rPr>
          <w:b/>
          <w:sz w:val="22"/>
        </w:rPr>
        <w:t>COUNTERPARTY: AFTER YOU HAVE CONFIRMED TRANSACTION, PLEASE RETURN TO ENA, ATTENTION: Power Contracts Documentation Manager at fax no. (713) 646-2491</w:t>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ENA:</w:t>
            </w:r>
          </w:p>
        </w:tc>
        <w:tc>
          <w:tcPr>
            <w:tcW w:w="4932" w:type="dxa"/>
            <w:tcBorders/>
          </w:tcPr>
          <w:p>
            <w:pPr>
              <w:pStyle w:val="Normal"/>
              <w:rPr>
                <w:sz w:val="22"/>
              </w:rPr>
            </w:pPr>
            <w:r>
              <w:rPr>
                <w:b/>
                <w:sz w:val="22"/>
              </w:rPr>
              <w:t>Payment Account Information for ENA:</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fldChar w:fldCharType="begin"/>
            </w:r>
            <w:r>
              <w:rPr>
                <w:sz w:val="22"/>
              </w:rPr>
              <w:instrText xml:space="preserve"> MERGEFIELD EnronAddr1 </w:instrText>
            </w:r>
            <w:r>
              <w:rPr>
                <w:sz w:val="22"/>
              </w:rPr>
              <w:fldChar w:fldCharType="separate"/>
            </w:r>
            <w:r>
              <w:rPr>
                <w:sz w:val="22"/>
              </w:rPr>
              <w:t>1400 Smith St</w:t>
            </w:r>
            <w:r>
              <w:rPr>
                <w:sz w:val="22"/>
              </w:rPr>
              <w:fldChar w:fldCharType="end"/>
            </w:r>
          </w:p>
        </w:tc>
        <w:tc>
          <w:tcPr>
            <w:tcW w:w="4932" w:type="dxa"/>
            <w:tcBorders/>
          </w:tcPr>
          <w:p>
            <w:pPr>
              <w:pStyle w:val="Normal"/>
              <w:rPr>
                <w:sz w:val="22"/>
              </w:rPr>
            </w:pPr>
            <w:r>
              <w:rPr>
                <w:sz w:val="22"/>
              </w:rPr>
              <w:t xml:space="preserve">Wire Transfer to: </w:t>
            </w:r>
            <w:r>
              <w:rPr>
                <w:sz w:val="22"/>
              </w:rPr>
              <w:fldChar w:fldCharType="begin"/>
            </w:r>
            <w:r>
              <w:rPr>
                <w:sz w:val="22"/>
              </w:rPr>
              <w:instrText xml:space="preserve"> MERGEFIELD WireTransfer </w:instrText>
            </w:r>
            <w:r>
              <w:rPr>
                <w:sz w:val="22"/>
              </w:rPr>
              <w:fldChar w:fldCharType="separate"/>
            </w:r>
            <w:r>
              <w:rPr>
                <w:sz w:val="22"/>
              </w:rPr>
              <w:t>111000012</w:t>
            </w:r>
            <w:r>
              <w:rPr>
                <w:sz w:val="22"/>
              </w:rPr>
              <w:fldChar w:fldCharType="end"/>
            </w:r>
          </w:p>
        </w:tc>
      </w:tr>
      <w:tr>
        <w:trPr/>
        <w:tc>
          <w:tcPr>
            <w:tcW w:w="5508" w:type="dxa"/>
            <w:tcBorders/>
          </w:tcPr>
          <w:p>
            <w:pPr>
              <w:pStyle w:val="Normal"/>
              <w:rPr>
                <w:sz w:val="22"/>
              </w:rPr>
            </w:pPr>
            <w:r>
              <w:rPr>
                <w:sz w:val="22"/>
              </w:rPr>
              <w:fldChar w:fldCharType="begin"/>
            </w:r>
            <w:r>
              <w:rPr>
                <w:sz w:val="22"/>
              </w:rPr>
              <w:instrText xml:space="preserve"> MERGEFIELD EnronAddrCity </w:instrText>
            </w:r>
            <w:r>
              <w:rPr>
                <w:sz w:val="22"/>
              </w:rPr>
              <w:fldChar w:fldCharType="separate"/>
            </w:r>
            <w:r>
              <w:rPr>
                <w:sz w:val="22"/>
              </w:rPr>
              <w:t>Houston</w:t>
            </w:r>
            <w:r>
              <w:rPr>
                <w:sz w:val="22"/>
              </w:rPr>
              <w:fldChar w:fldCharType="end"/>
            </w:r>
            <w:r>
              <w:rPr>
                <w:sz w:val="22"/>
              </w:rPr>
              <w:t xml:space="preserve">, </w:t>
            </w:r>
            <w:r>
              <w:rPr>
                <w:sz w:val="22"/>
              </w:rPr>
              <w:fldChar w:fldCharType="begin"/>
            </w:r>
            <w:r>
              <w:rPr>
                <w:sz w:val="22"/>
              </w:rPr>
              <w:instrText xml:space="preserve"> MERGEFIELD EnronAddrState </w:instrText>
            </w:r>
            <w:r>
              <w:rPr>
                <w:sz w:val="22"/>
              </w:rPr>
              <w:fldChar w:fldCharType="separate"/>
            </w:r>
            <w:r>
              <w:rPr>
                <w:sz w:val="22"/>
              </w:rPr>
              <w:t>TX</w:t>
            </w:r>
            <w:r>
              <w:rPr>
                <w:sz w:val="22"/>
              </w:rPr>
              <w:fldChar w:fldCharType="end"/>
            </w:r>
            <w:r>
              <w:rPr>
                <w:sz w:val="22"/>
              </w:rPr>
              <w:t xml:space="preserve"> </w:t>
            </w:r>
            <w:r>
              <w:rPr>
                <w:sz w:val="22"/>
              </w:rPr>
              <w:fldChar w:fldCharType="begin"/>
            </w:r>
            <w:r>
              <w:rPr>
                <w:sz w:val="22"/>
              </w:rPr>
              <w:instrText xml:space="preserve"> MERGEFIELD EnronAddrZip </w:instrText>
            </w:r>
            <w:r>
              <w:rPr>
                <w:sz w:val="22"/>
              </w:rPr>
              <w:fldChar w:fldCharType="separate"/>
            </w:r>
            <w:r>
              <w:rPr>
                <w:sz w:val="22"/>
              </w:rPr>
              <w:t>77002-7327</w:t>
            </w:r>
            <w:r>
              <w:rPr>
                <w:sz w:val="22"/>
              </w:rPr>
              <w:fldChar w:fldCharType="end"/>
            </w:r>
          </w:p>
        </w:tc>
        <w:tc>
          <w:tcPr>
            <w:tcW w:w="4932" w:type="dxa"/>
            <w:tcBorders/>
          </w:tcPr>
          <w:p>
            <w:pPr>
              <w:pStyle w:val="Normal"/>
              <w:rPr>
                <w:sz w:val="22"/>
              </w:rPr>
            </w:pPr>
            <w:r>
              <w:rPr>
                <w:sz w:val="22"/>
              </w:rPr>
              <w:t>Acct No. 3750494727</w:t>
            </w:r>
          </w:p>
        </w:tc>
      </w:tr>
      <w:tr>
        <w:trPr/>
        <w:tc>
          <w:tcPr>
            <w:tcW w:w="5508" w:type="dxa"/>
            <w:tcBorders/>
          </w:tcPr>
          <w:p>
            <w:pPr>
              <w:pStyle w:val="Normal"/>
              <w:rPr>
                <w:sz w:val="22"/>
              </w:rPr>
            </w:pPr>
            <w:r>
              <w:rPr>
                <w:sz w:val="22"/>
              </w:rPr>
              <w:t>Attention: Manager, Documentation Dept</w:t>
            </w:r>
          </w:p>
        </w:tc>
        <w:tc>
          <w:tcPr>
            <w:tcW w:w="4932" w:type="dxa"/>
            <w:tcBorders/>
          </w:tcPr>
          <w:p>
            <w:pPr>
              <w:pStyle w:val="Normal"/>
              <w:rPr>
                <w:sz w:val="22"/>
              </w:rPr>
            </w:pPr>
            <w:r>
              <w:rPr>
                <w:sz w:val="22"/>
              </w:rPr>
              <w:t>ABA Routing No. Bank of America, Dallas, TX</w:t>
            </w:r>
          </w:p>
        </w:tc>
      </w:tr>
      <w:tr>
        <w:trPr/>
        <w:tc>
          <w:tcPr>
            <w:tcW w:w="5508" w:type="dxa"/>
            <w:tcBorders/>
          </w:tcPr>
          <w:p>
            <w:pPr>
              <w:pStyle w:val="Normal"/>
              <w:rPr>
                <w:sz w:val="22"/>
              </w:rPr>
            </w:pPr>
            <w:r>
              <w:rPr>
                <w:sz w:val="22"/>
              </w:rPr>
              <w:t>Fax: (713) 646-2443</w:t>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Phone: (713) 853-1771</w:t>
            </w:r>
          </w:p>
        </w:tc>
        <w:tc>
          <w:tcPr>
            <w:tcW w:w="4932" w:type="dxa"/>
            <w:tcBorders/>
          </w:tcPr>
          <w:p>
            <w:pPr>
              <w:pStyle w:val="Normal"/>
              <w:snapToGrid w:val="false"/>
              <w:rPr>
                <w:sz w:val="22"/>
              </w:rPr>
            </w:pPr>
            <w:r>
              <w:rPr>
                <w:sz w:val="22"/>
              </w:rPr>
            </w:r>
          </w:p>
        </w:tc>
      </w:tr>
    </w:tbl>
    <w:p>
      <w:pPr>
        <w:pStyle w:val="Normal"/>
        <w:rPr>
          <w:sz w:val="22"/>
        </w:rPr>
      </w:pPr>
      <w:r>
        <w:rPr>
          <w:sz w:val="22"/>
        </w:rPr>
      </w:r>
    </w:p>
    <w:p>
      <w:pPr>
        <w:pStyle w:val="Normal"/>
        <w:ind w:end="-360"/>
        <w:rPr>
          <w:sz w:val="22"/>
        </w:rPr>
      </w:pPr>
      <w:r>
        <w:rPr>
          <w:sz w:val="22"/>
        </w:rPr>
        <w:t>With a copy of any notice given pursuant to Section 3 or 4 of Annex A or Annex B, if any,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sz w:val="22"/>
        </w:rPr>
      </w:pPr>
      <w:r>
        <w:rPr>
          <w:sz w:val="22"/>
        </w:rPr>
        <w:t>Fax:  (713) 646-4818</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tabs>
                <w:tab w:val="clear" w:pos="720"/>
                <w:tab w:val="left" w:pos="3960" w:leader="none"/>
              </w:tabs>
              <w:rPr>
                <w:sz w:val="22"/>
              </w:rPr>
            </w:pPr>
            <w:r>
              <w:rPr>
                <w:sz w:val="22"/>
              </w:rPr>
              <w:t>Address: 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Attention: 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Fax: 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Phone: ______________________________</w:t>
            </w:r>
          </w:p>
        </w:tc>
        <w:tc>
          <w:tcPr>
            <w:tcW w:w="5220" w:type="dxa"/>
            <w:tcBorders/>
          </w:tcPr>
          <w:p>
            <w:pPr>
              <w:pStyle w:val="Normal"/>
              <w:rPr>
                <w:sz w:val="22"/>
              </w:rPr>
            </w:pPr>
            <w:r>
              <w:rPr>
                <w:sz w:val="22"/>
              </w:rPr>
              <w:t>_________________________________________</w:t>
            </w:r>
          </w:p>
        </w:tc>
      </w:tr>
    </w:tbl>
    <w:p>
      <w:pPr>
        <w:pStyle w:val="Normal"/>
        <w:rPr>
          <w:sz w:val="22"/>
        </w:rPr>
      </w:pPr>
      <w:r>
        <w:rPr>
          <w:sz w:val="22"/>
        </w:rPr>
      </w:r>
    </w:p>
    <w:p>
      <w:pPr>
        <w:pStyle w:val="Normal"/>
        <w:rPr>
          <w:b/>
          <w:sz w:val="22"/>
        </w:rPr>
      </w:pPr>
      <w:r>
        <w:rPr>
          <w:b/>
          <w:sz w:val="22"/>
        </w:rPr>
        <w:t>COUNTERPARTY: PLEASE PROVIDE ABOVE REQUESTED INFORMATION IF NOT PROVIDED PREVIOUSLY OR IF CHANGES HAVE OCCURRED</w:t>
      </w:r>
      <w:r>
        <w:br w:type="page"/>
      </w:r>
    </w:p>
    <w:p>
      <w:pPr>
        <w:pStyle w:val="Heading1"/>
        <w:ind w:hanging="0" w:start="0"/>
        <w:jc w:val="start"/>
        <w:rPr>
          <w:b/>
          <w:sz w:val="20"/>
        </w:rPr>
      </w:pPr>
      <w:r>
        <w:rPr>
          <w:b/>
          <w:sz w:val="20"/>
        </w:rPr>
      </w:r>
    </w:p>
    <w:p>
      <w:pPr>
        <w:pStyle w:val="Heading1"/>
        <w:ind w:hanging="0" w:start="0"/>
        <w:rPr>
          <w:sz w:val="20"/>
        </w:rPr>
      </w:pPr>
      <w:r>
        <w:rPr>
          <w:sz w:val="20"/>
        </w:rPr>
      </w:r>
    </w:p>
    <w:p>
      <w:pPr>
        <w:pStyle w:val="Heading1"/>
        <w:ind w:hanging="0" w:start="0"/>
        <w:rPr>
          <w:sz w:val="20"/>
        </w:rPr>
      </w:pPr>
      <w:r>
        <w:rPr>
          <w:sz w:val="20"/>
        </w:rPr>
        <w:t>ANNEX A</w:t>
      </w:r>
    </w:p>
    <w:p>
      <w:pPr>
        <w:sectPr>
          <w:type w:val="continuous"/>
          <w:pgSz w:w="12240" w:h="15840"/>
          <w:pgMar w:left="1152" w:right="864" w:gutter="0" w:header="720" w:top="864" w:footer="0" w:bottom="864"/>
          <w:formProt w:val="false"/>
          <w:textDirection w:val="lrTb"/>
          <w:docGrid w:type="default" w:linePitch="360" w:charSpace="0"/>
        </w:sectPr>
      </w:pPr>
    </w:p>
    <w:p>
      <w:pPr>
        <w:pStyle w:val="Normal"/>
        <w:jc w:val="center"/>
        <w:rPr>
          <w:b/>
          <w:sz w:val="20"/>
          <w:u w:val="single"/>
        </w:rPr>
      </w:pPr>
      <w:r>
        <w:rPr>
          <w:b/>
          <w:sz w:val="20"/>
          <w:u w:val="single"/>
        </w:rPr>
      </w:r>
    </w:p>
    <w:p>
      <w:pPr>
        <w:sectPr>
          <w:type w:val="continuous"/>
          <w:pgSz w:w="12240" w:h="15840"/>
          <w:pgMar w:left="1152" w:right="864" w:gutter="0" w:header="720" w:top="864" w:footer="0" w:bottom="864"/>
          <w:cols w:num="2" w:space="708" w:equalWidth="true" w:sep="false"/>
          <w:formProt w:val="false"/>
          <w:textDirection w:val="lrTb"/>
          <w:docGrid w:type="default" w:linePitch="360" w:charSpace="0"/>
        </w:sectPr>
      </w:pPr>
    </w:p>
    <w:p>
      <w:pPr>
        <w:pStyle w:val="Heading2"/>
        <w:ind w:hanging="0" w:start="0"/>
        <w:rPr/>
      </w:pPr>
      <w:r>
        <w:rPr/>
        <w:t>GENERAL TERMS AND CONDITIONS</w:t>
      </w:r>
    </w:p>
    <w:p>
      <w:pPr>
        <w:pStyle w:val="Normal"/>
        <w:rPr/>
      </w:pPr>
      <w:r>
        <w:rPr/>
      </w:r>
    </w:p>
    <w:p>
      <w:pPr>
        <w:pStyle w:val="Normal"/>
        <w:rPr/>
      </w:pPr>
      <w:r>
        <w:rPr/>
      </w:r>
    </w:p>
    <w:p>
      <w:pPr>
        <w:sectPr>
          <w:type w:val="continuous"/>
          <w:pgSz w:w="12240" w:h="15840"/>
          <w:pgMar w:left="1152" w:right="864" w:gutter="0" w:header="720" w:top="864" w:footer="0" w:bottom="864"/>
          <w:formProt w:val="false"/>
          <w:textDirection w:val="lrTb"/>
          <w:docGrid w:type="default" w:linePitch="360" w:charSpace="0"/>
        </w:sectPr>
      </w:pPr>
    </w:p>
    <w:p>
      <w:pPr>
        <w:pStyle w:val="Normal"/>
        <w:jc w:val="both"/>
        <w:rPr>
          <w:rFonts w:ascii="Arial Narrow" w:hAnsi="Arial Narrow" w:cs="Arial Narrow"/>
          <w:sz w:val="18"/>
        </w:rPr>
      </w:pPr>
      <w:r>
        <w:rPr>
          <w:rFonts w:cs="Arial Narrow" w:ascii="Arial Narrow" w:hAnsi="Arial Narrow"/>
          <w:sz w:val="18"/>
        </w:rPr>
        <w:t>This Annex A supplements, forms part of, and is incorporated into the Confirmation to which this Annex A is attached.  Until a Master Agreement is executed by the parties, this Annex A will set forth the general terms and conditions governing all Transactions between the parties except as otherwise specified in a Confirmation to a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ENA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this Confirmation;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Confirmation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 </w:t>
      </w:r>
      <w:r>
        <w:rPr>
          <w:rFonts w:cs="Arial Narrow" w:ascii="Arial Narrow" w:hAnsi="Arial Narrow"/>
          <w:sz w:val="18"/>
          <w:u w:val="single"/>
        </w:rPr>
        <w:t>Absence of Litigation</w:t>
      </w:r>
      <w:r>
        <w:rPr>
          <w:rFonts w:cs="Arial Narrow" w:ascii="Arial Narrow" w:hAnsi="Arial Narrow"/>
          <w:sz w:val="18"/>
        </w:rPr>
        <w:t xml:space="preserve">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Confirmation or any Credit Support Document to which it or its Affiliates is a party or its or its Affiliates ability to perform their respective obligations under this Confirmation or such Credit Support Document.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Total 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Each payment will be made in the Contractual Currency (specified in the Confirmation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three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ten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Confirmation or (z) the resulting entity’s creditworthiness is materially weaker than that of the Defaulting Party; or (f) an event of default occurs (howsoever determined) under any other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Confirmation or otherwise any amounts payable by the Defaulting Party to the non-defaulting party or any of its Affiliates under this Confirmation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all obligations of any kind whatsoever of the Defaulting Party to make any payments to the non-defaulting party or any of its Affiliates under this Confirmation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This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State of Texas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Confirmation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if New York law governs this Confirmation, otherwise in Houston, Texas and such arbitration,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contents of this Confirmation and all other documents relating to this Confirmation or Annex B, if any, and any information made available by one party or its Credit Support Provider, if any, to the other party or its Credit Support Provider, if any, with respect to this Confirmation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or its Credit Support Provider, if any,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If any term, provision, covenant, or condition of this Confirmation, or the application thereof to any party or circumstance, shall be held to be invalid or unenforceable (in whole or in part) for any reason, the remaining terms, provisions, covenants, and conditions hereof shall continue in full force and effect as if this Confirmation had been executed with the invalid or unenforceable portion eliminated, so long as this Confirmation as so modified continues to express, without material change, the original intentions of the parties as to the subject matter of this Confirmation and the deletion of such portion of this Confirmation will not substantially impair the respective benefits or expectations of the parties to this Confirmation;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Section 2, 3 or 4 (or any definition or provision in Section 8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ENA,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Annex, are used with the meanings provided in Annex B attached hereto, if any or in the Confirmation.  As used in this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ENA):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Cap, Floor, Put, Swaption or is identified in the relevant Confirmation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sz w:val="18"/>
        </w:rPr>
        <w:t>" means all swap, option or other financially-settled derivative transactions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p>
    <w:p>
      <w:pPr>
        <w:pStyle w:val="Normal"/>
        <w:jc w:val="end"/>
        <w:rPr>
          <w:rFonts w:ascii="Arial Narrow" w:hAnsi="Arial Narrow" w:cs="Arial Narrow"/>
          <w:sz w:val="18"/>
        </w:rPr>
      </w:pPr>
      <w:r>
        <w:rPr>
          <w:rFonts w:cs="Arial Narrow" w:ascii="Arial Narrow" w:hAnsi="Arial Narrow"/>
          <w:sz w:val="18"/>
        </w:rPr>
      </w:r>
    </w:p>
    <w:p>
      <w:pPr>
        <w:pStyle w:val="Normal"/>
        <w:rPr/>
      </w:pPr>
      <w:r>
        <w:rPr/>
      </w:r>
    </w:p>
    <w:p>
      <w:pPr>
        <w:pStyle w:val="Normal"/>
        <w:rPr>
          <w:b/>
          <w:sz w:val="22"/>
        </w:rPr>
      </w:pPr>
      <w:r>
        <w:rPr>
          <w:b/>
          <w:sz w:val="22"/>
        </w:rPr>
      </w:r>
    </w:p>
    <w:p>
      <w:pPr>
        <w:sectPr>
          <w:type w:val="continuous"/>
          <w:pgSz w:w="12240" w:h="15840"/>
          <w:pgMar w:left="1152" w:right="864" w:gutter="0" w:header="720" w:top="864" w:footer="0" w:bottom="864"/>
          <w:cols w:num="2" w:space="708" w:equalWidth="true" w:sep="false"/>
          <w:formProt w:val="false"/>
          <w:textDirection w:val="lrTb"/>
          <w:docGrid w:type="default" w:linePitch="360" w:charSpace="0"/>
        </w:sectPr>
      </w:pPr>
    </w:p>
    <w:p>
      <w:pPr>
        <w:pStyle w:val="Normal"/>
        <w:numPr>
          <w:ilvl w:val="0"/>
          <w:numId w:val="0"/>
        </w:numPr>
        <w:jc w:val="end"/>
        <w:rPr>
          <w:b/>
          <w:sz w:val="22"/>
        </w:rPr>
      </w:pPr>
      <w:r>
        <w:rPr>
          <w:b/>
          <w:sz w:val="22"/>
        </w:rPr>
      </w:r>
      <w:r>
        <w:br w:type="page"/>
      </w:r>
    </w:p>
    <w:p>
      <w:pPr>
        <w:pStyle w:val="Normal"/>
        <w:jc w:val="end"/>
        <w:rPr/>
      </w:pPr>
      <w:r>
        <w:rPr/>
      </w:r>
    </w:p>
    <w:p>
      <w:pPr>
        <w:sectPr>
          <w:type w:val="continuous"/>
          <w:pgSz w:w="12240" w:h="15840"/>
          <w:pgMar w:left="1152" w:right="864" w:gutter="0" w:header="720" w:top="864" w:footer="0" w:bottom="864"/>
          <w:cols w:num="2" w:space="708" w:equalWidth="true" w:sep="false"/>
          <w:formProt w:val="false"/>
          <w:textDirection w:val="lrTb"/>
          <w:docGrid w:type="default" w:linePitch="360" w:charSpace="0"/>
        </w:sectPr>
      </w:pPr>
    </w:p>
    <w:p>
      <w:pPr>
        <w:pStyle w:val="Heading"/>
        <w:jc w:val="center"/>
        <w:rPr>
          <w:rFonts w:ascii="Arial Narrow" w:hAnsi="Arial Narrow" w:cs="Arial Narrow"/>
          <w:sz w:val="18"/>
          <w:u w:val="single"/>
        </w:rPr>
      </w:pPr>
      <w:r>
        <w:rPr>
          <w:rFonts w:cs="Arial Narrow" w:ascii="Arial Narrow" w:hAnsi="Arial Narrow"/>
          <w:sz w:val="18"/>
          <w:u w:val="single"/>
        </w:rPr>
        <w:t>ANNEX B</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rPr>
      </w:pPr>
      <w:r>
        <w:rPr>
          <w:rFonts w:cs="Arial Narrow" w:ascii="Arial Narrow" w:hAnsi="Arial Narrow"/>
          <w:b/>
        </w:rPr>
        <w:t>CREDIT AND OTHER SPECIAL PROVISIONS</w:t>
      </w:r>
    </w:p>
    <w:p>
      <w:pPr>
        <w:pStyle w:val="Normal"/>
        <w:jc w:val="center"/>
        <w:rPr>
          <w:rFonts w:ascii="Arial Narrow" w:hAnsi="Arial Narrow" w:cs="Arial Narrow"/>
          <w:b/>
        </w:rPr>
      </w:pPr>
      <w:r>
        <w:rPr>
          <w:rFonts w:cs="Arial Narrow" w:ascii="Arial Narrow" w:hAnsi="Arial Narrow"/>
          <w:b/>
        </w:rPr>
      </w:r>
    </w:p>
    <w:p>
      <w:pPr>
        <w:pStyle w:val="Normal"/>
        <w:jc w:val="center"/>
        <w:rPr>
          <w:rFonts w:ascii="Arial Narrow" w:hAnsi="Arial Narrow" w:cs="Arial Narrow"/>
          <w:b/>
          <w:color w:val="FF0000"/>
        </w:rPr>
      </w:pPr>
      <w:r>
        <w:rPr>
          <w:rFonts w:cs="Arial Narrow" w:ascii="Arial Narrow" w:hAnsi="Arial Narrow"/>
          <w:b/>
        </w:rPr>
        <w:t>ONTARIO POWER GENERATION INC.</w:t>
      </w:r>
    </w:p>
    <w:p>
      <w:pPr>
        <w:pStyle w:val="Normal"/>
        <w:jc w:val="center"/>
        <w:rPr>
          <w:rFonts w:ascii="Arial Narrow" w:hAnsi="Arial Narrow" w:cs="Arial Narrow"/>
          <w:b/>
          <w:color w:val="FF0000"/>
          <w:sz w:val="18"/>
        </w:rPr>
      </w:pPr>
      <w:r>
        <w:rPr>
          <w:rFonts w:cs="Arial Narrow" w:ascii="Arial Narrow" w:hAnsi="Arial Narrow"/>
          <w:b/>
          <w:color w:val="FF0000"/>
          <w:sz w:val="18"/>
        </w:rPr>
      </w:r>
    </w:p>
    <w:p>
      <w:pPr>
        <w:pStyle w:val="Normal"/>
        <w:jc w:val="both"/>
        <w:rPr>
          <w:rFonts w:ascii="Arial Narrow" w:hAnsi="Arial Narrow" w:cs="Arial Narrow"/>
          <w:sz w:val="18"/>
        </w:rPr>
      </w:pPr>
      <w:r>
        <w:rPr>
          <w:rFonts w:cs="Arial Narrow" w:ascii="Arial Narrow" w:hAnsi="Arial Narrow"/>
          <w:sz w:val="18"/>
        </w:rPr>
        <w:tab/>
        <w:t>This Annex B supplements, forms part of, and is incorporated into the Confirmation to which this Annex B is attached.  Until a Master Agreement is executed by the parties, this Annex B will set forth the credit and other special provisions governing all Transactions between the parties except as otherwise specified in a Confirmation to a Transaction; provided upon execution of a Master Agreement by the parties (i) all Additional Amounts shall automatically become Independent Amounts under, and as defined in, the Master Agreement, and (ii) all Performance Assurance held by a party pursuant to the terms hereof shall automatically become Posted Credit Support under, and as defined in, the Master Agreement.</w:t>
      </w:r>
    </w:p>
    <w:p>
      <w:pPr>
        <w:pStyle w:val="Normal"/>
        <w:ind w:start="72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sz w:val="18"/>
          <w:u w:val="single"/>
        </w:rPr>
      </w:pPr>
      <w:r>
        <w:rPr>
          <w:rFonts w:cs="Arial Narrow" w:ascii="Arial Narrow" w:hAnsi="Arial Narrow"/>
          <w:sz w:val="18"/>
          <w:u w:val="single"/>
        </w:rPr>
      </w:r>
    </w:p>
    <w:p>
      <w:pPr>
        <w:pStyle w:val="Normal"/>
        <w:tabs>
          <w:tab w:val="left" w:pos="720"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sz w:val="18"/>
        </w:rPr>
        <w:tab/>
      </w:r>
      <w:r>
        <w:rPr>
          <w:rFonts w:cs="Arial Narrow" w:ascii="Arial Narrow" w:hAnsi="Arial Narrow"/>
          <w:sz w:val="18"/>
          <w:u w:val="single"/>
        </w:rPr>
        <w:t>FOREIGN COUNTERPARTY</w:t>
      </w:r>
      <w:r>
        <w:rPr>
          <w:rFonts w:cs="Arial Narrow" w:ascii="Arial Narrow" w:hAnsi="Arial Narrow"/>
          <w:b/>
          <w:sz w:val="18"/>
        </w:rPr>
        <w:t xml:space="preserve">.  </w:t>
      </w:r>
      <w:r>
        <w:rPr>
          <w:rFonts w:cs="Arial Narrow" w:ascii="Arial Narrow" w:hAnsi="Arial Narrow"/>
          <w:sz w:val="18"/>
        </w:rPr>
        <w:t>Counterparty and ENA agree to the representations, warranties and covenants set forth in the Canadian Annex attached to the Confirmation and agree that such Canadian Annex shall supplement, form part of and be incorporated into the Confirmation.</w:t>
      </w:r>
    </w:p>
    <w:p>
      <w:pPr>
        <w:pStyle w:val="Normal"/>
        <w:tabs>
          <w:tab w:val="left" w:pos="720" w:leader="none"/>
        </w:tabs>
        <w:jc w:val="both"/>
        <w:rPr>
          <w:rFonts w:ascii="Arial Narrow" w:hAnsi="Arial Narrow" w:cs="Arial Narrow"/>
          <w:b/>
          <w:sz w:val="18"/>
          <w:u w:val="single"/>
        </w:rPr>
      </w:pPr>
      <w:r>
        <w:rPr>
          <w:rFonts w:cs="Arial Narrow" w:ascii="Arial Narrow" w:hAnsi="Arial Narrow"/>
          <w:b/>
          <w:sz w:val="18"/>
          <w:u w:val="single"/>
        </w:rPr>
      </w:r>
      <w:r>
        <w:br w:type="page"/>
      </w:r>
    </w:p>
    <w:p>
      <w:pPr>
        <w:pStyle w:val="Header"/>
        <w:jc w:val="end"/>
        <w:rPr>
          <w:rFonts w:ascii="Arial Narrow" w:hAnsi="Arial Narrow" w:cs="Arial Narrow"/>
          <w:sz w:val="16"/>
        </w:rPr>
      </w:pPr>
      <w:r>
        <w:rPr>
          <w:rFonts w:cs="Arial Narrow" w:ascii="Arial Narrow" w:hAnsi="Arial Narrow"/>
          <w:sz w:val="16"/>
        </w:rPr>
        <w:t>ENA/Canadian Counterparty</w:t>
      </w:r>
    </w:p>
    <w:p>
      <w:pPr>
        <w:pStyle w:val="Header"/>
        <w:jc w:val="end"/>
        <w:rPr>
          <w:rFonts w:ascii="Arial Narrow" w:hAnsi="Arial Narrow" w:cs="Arial Narrow"/>
          <w:sz w:val="16"/>
        </w:rPr>
      </w:pPr>
      <w:r>
        <w:rPr>
          <w:rFonts w:cs="Arial Narrow" w:ascii="Arial Narrow" w:hAnsi="Arial Narrow"/>
          <w:sz w:val="16"/>
        </w:rPr>
      </w:r>
    </w:p>
    <w:p>
      <w:pPr>
        <w:pStyle w:val="Header"/>
        <w:jc w:val="center"/>
        <w:rPr>
          <w:rFonts w:ascii="Arial Narrow" w:hAnsi="Arial Narrow" w:cs="Arial Narrow"/>
          <w:b/>
          <w:sz w:val="20"/>
        </w:rPr>
      </w:pPr>
      <w:r>
        <w:rPr>
          <w:rFonts w:cs="Arial Narrow" w:ascii="Arial Narrow" w:hAnsi="Arial Narrow"/>
          <w:b/>
          <w:sz w:val="20"/>
        </w:rPr>
        <w:t>CANADIAN ANNEX</w:t>
      </w:r>
    </w:p>
    <w:p>
      <w:pPr>
        <w:pStyle w:val="Header"/>
        <w:jc w:val="center"/>
        <w:rPr>
          <w:rFonts w:ascii="Arial Narrow" w:hAnsi="Arial Narrow" w:cs="Arial Narrow"/>
          <w:b/>
          <w:sz w:val="20"/>
        </w:rPr>
      </w:pPr>
      <w:r>
        <w:rPr>
          <w:rFonts w:cs="Arial Narrow" w:ascii="Arial Narrow" w:hAnsi="Arial Narrow"/>
          <w:b/>
          <w:sz w:val="20"/>
        </w:rPr>
        <w:t>ADDITIONAL TERMS FOR CANADIAN COUNTERPARTIES</w:t>
      </w:r>
    </w:p>
    <w:p>
      <w:pPr>
        <w:pStyle w:val="Normal"/>
        <w:tabs>
          <w:tab w:val="clear" w:pos="720"/>
          <w:tab w:val="left" w:pos="5310" w:leader="none"/>
        </w:tabs>
        <w:ind w:end="202"/>
        <w:jc w:val="both"/>
        <w:rPr>
          <w:rFonts w:ascii="Arial Narrow" w:hAnsi="Arial Narrow" w:cs="Arial Narrow"/>
          <w:b/>
          <w:sz w:val="20"/>
        </w:rPr>
      </w:pPr>
      <w:r>
        <w:rPr>
          <w:rFonts w:cs="Arial Narrow" w:ascii="Arial Narrow" w:hAnsi="Arial Narrow"/>
          <w:b/>
          <w:sz w:val="20"/>
        </w:rPr>
      </w:r>
    </w:p>
    <w:p>
      <w:pPr>
        <w:sectPr>
          <w:type w:val="continuous"/>
          <w:pgSz w:w="12240" w:h="15840"/>
          <w:pgMar w:left="1152" w:right="864" w:gutter="0" w:header="720" w:top="864" w:footer="0" w:bottom="864"/>
          <w:formProt w:val="false"/>
          <w:textDirection w:val="lrTb"/>
          <w:docGrid w:type="default" w:linePitch="360" w:charSpace="0"/>
        </w:sectPr>
      </w:pPr>
    </w:p>
    <w:p>
      <w:pPr>
        <w:pStyle w:val="Normal"/>
        <w:tabs>
          <w:tab w:val="clear" w:pos="720"/>
          <w:tab w:val="left" w:pos="5310" w:leader="none"/>
        </w:tabs>
        <w:ind w:end="202"/>
        <w:jc w:val="both"/>
        <w:rPr>
          <w:rFonts w:ascii="Arial Narrow" w:hAnsi="Arial Narrow" w:cs="Arial Narrow"/>
          <w:sz w:val="18"/>
        </w:rPr>
      </w:pPr>
      <w:r>
        <w:rPr>
          <w:rFonts w:cs="Arial Narrow" w:ascii="Arial Narrow" w:hAnsi="Arial Narrow"/>
          <w:sz w:val="18"/>
        </w:rPr>
        <w:t>This Canadian Annex supplements, forms part of, and is incorporated into the Confirmation to which this Canadian Annex is attached.  Until a Master Agreement is executed by the parties, this Canadian Annex will set forth additional terms and conditions governing all Transactions between the parties except as otherwise specified in a Confirmation to a Transaction.</w:t>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 xml:space="preserve">1.  </w:t>
      </w:r>
      <w:r>
        <w:rPr>
          <w:rFonts w:cs="Arial Narrow" w:ascii="Arial Narrow" w:hAnsi="Arial Narrow"/>
          <w:b/>
          <w:sz w:val="18"/>
          <w:u w:val="single"/>
        </w:rPr>
        <w:t>Taxes</w:t>
      </w:r>
      <w:r>
        <w:rPr>
          <w:rFonts w:cs="Arial Narrow" w:ascii="Arial Narrow" w:hAnsi="Arial Narrow"/>
          <w:sz w:val="18"/>
        </w:rPr>
        <w:t xml:space="preserve">.  (a)  </w:t>
      </w:r>
      <w:r>
        <w:rPr>
          <w:rFonts w:cs="Arial Narrow" w:ascii="Arial Narrow" w:hAnsi="Arial Narrow"/>
          <w:sz w:val="18"/>
          <w:u w:val="single"/>
        </w:rPr>
        <w:t>Payor Representations.</w:t>
      </w:r>
      <w:r>
        <w:rPr>
          <w:rFonts w:cs="Arial Narrow" w:ascii="Arial Narrow" w:hAnsi="Arial Narrow"/>
          <w:sz w:val="18"/>
        </w:rPr>
        <w:t xml:space="preserve">  In connection with making all payments under this Confirmation, each party makes the following payor representations: (1) It is not required by any applicable law, as modified by the practice of any relevant governmental revenue authority, of any Relevant Jurisdiction, to make any deduction or withholding for or on account of any tax from any payment (other than any interest payments under this Confirmation) to be made by it to the other party under this Confirmation.  In making this representation, it may rely on the accuracy of the tax representations and covenants made by the other party; and (2) for purposes of this representation, "</w:t>
      </w:r>
      <w:r>
        <w:rPr>
          <w:rFonts w:cs="Arial Narrow" w:ascii="Arial Narrow" w:hAnsi="Arial Narrow"/>
          <w:i/>
          <w:sz w:val="18"/>
          <w:u w:val="single"/>
        </w:rPr>
        <w:t>Relevant Jurisdiction</w:t>
      </w:r>
      <w:r>
        <w:rPr>
          <w:rFonts w:cs="Arial Narrow" w:ascii="Arial Narrow" w:hAnsi="Arial Narrow"/>
          <w:sz w:val="18"/>
        </w:rPr>
        <w:t>" means any jurisdiction (A) in which the party is incorporated, organized, managed and controlled, or is considered to have a seat, (B) where a branch or office through which the party is acting for purposes of this Confirmation is located, (C) in which the party executes this Confirmation or (D) in relation to any payment, from or through which payment is made.</w:t>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 xml:space="preserve">(b)  </w:t>
      </w:r>
      <w:r>
        <w:rPr>
          <w:rFonts w:cs="Arial Narrow" w:ascii="Arial Narrow" w:hAnsi="Arial Narrow"/>
          <w:sz w:val="18"/>
          <w:u w:val="single"/>
        </w:rPr>
        <w:t>Payee Representations</w:t>
      </w:r>
      <w:r>
        <w:rPr>
          <w:rFonts w:cs="Arial Narrow" w:ascii="Arial Narrow" w:hAnsi="Arial Narrow"/>
          <w:sz w:val="18"/>
        </w:rPr>
        <w:t>.  In connection with receiving all payments under this Confirmation, each party makes the following payee representations:  (1) 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Confirmation, and no such payment is attributable to a trade or business carried on by it through a permanent establishment in the Specified Jurisdiction; and (2) with respect to Counterparty, "</w:t>
      </w:r>
      <w:r>
        <w:rPr>
          <w:rFonts w:cs="Arial Narrow" w:ascii="Arial Narrow" w:hAnsi="Arial Narrow"/>
          <w:i/>
          <w:sz w:val="18"/>
          <w:u w:val="single"/>
        </w:rPr>
        <w:t>Specified Treaty</w:t>
      </w:r>
      <w:r>
        <w:rPr>
          <w:rFonts w:cs="Arial Narrow" w:ascii="Arial Narrow" w:hAnsi="Arial Narrow"/>
          <w:sz w:val="18"/>
        </w:rPr>
        <w:t>" means the income tax treaty between the United States and Canada, and "</w:t>
      </w:r>
      <w:r>
        <w:rPr>
          <w:rFonts w:cs="Arial Narrow" w:ascii="Arial Narrow" w:hAnsi="Arial Narrow"/>
          <w:i/>
          <w:sz w:val="18"/>
          <w:u w:val="single"/>
        </w:rPr>
        <w:t>Specified Jurisdiction</w:t>
      </w:r>
      <w:r>
        <w:rPr>
          <w:rFonts w:cs="Arial Narrow" w:ascii="Arial Narrow" w:hAnsi="Arial Narrow"/>
          <w:sz w:val="18"/>
        </w:rPr>
        <w:t>" means United States; and (3) with respect to ENA, "</w:t>
      </w:r>
      <w:r>
        <w:rPr>
          <w:rFonts w:cs="Arial Narrow" w:ascii="Arial Narrow" w:hAnsi="Arial Narrow"/>
          <w:i/>
          <w:sz w:val="18"/>
          <w:u w:val="single"/>
        </w:rPr>
        <w:t>Specified Treaty</w:t>
      </w:r>
      <w:r>
        <w:rPr>
          <w:rFonts w:cs="Arial Narrow" w:ascii="Arial Narrow" w:hAnsi="Arial Narrow"/>
          <w:sz w:val="18"/>
        </w:rPr>
        <w:t>" means the income tax treaty between the United States and Canada, and "</w:t>
      </w:r>
      <w:r>
        <w:rPr>
          <w:rFonts w:cs="Arial Narrow" w:ascii="Arial Narrow" w:hAnsi="Arial Narrow"/>
          <w:i/>
          <w:sz w:val="18"/>
          <w:u w:val="single"/>
        </w:rPr>
        <w:t>Specified Jurisdiction</w:t>
      </w:r>
      <w:r>
        <w:rPr>
          <w:rFonts w:cs="Arial Narrow" w:ascii="Arial Narrow" w:hAnsi="Arial Narrow"/>
          <w:sz w:val="18"/>
        </w:rPr>
        <w:t>" means Canada.</w:t>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 xml:space="preserve">(c)  </w:t>
      </w:r>
      <w:r>
        <w:rPr>
          <w:rFonts w:cs="Arial Narrow" w:ascii="Arial Narrow" w:hAnsi="Arial Narrow"/>
          <w:sz w:val="18"/>
          <w:u w:val="single"/>
        </w:rPr>
        <w:t>Changes in Representation</w:t>
      </w:r>
      <w:r>
        <w:rPr>
          <w:rFonts w:cs="Arial Narrow" w:ascii="Arial Narrow" w:hAnsi="Arial Narrow"/>
          <w:sz w:val="18"/>
        </w:rPr>
        <w:t>.  If any representation made under this Section becomes untrue or inaccurate during the term of this Confirmation, the party whose representation has changed shall promptly give the other party written notice of such change.</w:t>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 xml:space="preserve">(d)  </w:t>
      </w:r>
      <w:r>
        <w:rPr>
          <w:rFonts w:cs="Arial Narrow" w:ascii="Arial Narrow" w:hAnsi="Arial Narrow"/>
          <w:sz w:val="18"/>
          <w:u w:val="single"/>
        </w:rPr>
        <w:t>Withholding Tax Exemption Form</w:t>
      </w:r>
      <w:r>
        <w:rPr>
          <w:rFonts w:cs="Arial Narrow" w:ascii="Arial Narrow" w:hAnsi="Arial Narrow"/>
          <w:sz w:val="18"/>
        </w:rPr>
        <w:t>.  Upon request, each party shall provide the other party with a properly completed and executed exemption form, certificate or other document that will allow the other party to make any payment hereunder without deduction or withholding for taxes, including, but not limited to, Internal Revenue Service Forms reasonably requested.</w:t>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 xml:space="preserve">(e)  </w:t>
      </w:r>
      <w:r>
        <w:rPr>
          <w:rFonts w:cs="Arial Narrow" w:ascii="Arial Narrow" w:hAnsi="Arial Narrow"/>
          <w:sz w:val="18"/>
          <w:u w:val="single"/>
        </w:rPr>
        <w:t>Gross-Up</w:t>
      </w:r>
      <w:r>
        <w:rPr>
          <w:rFonts w:cs="Arial Narrow" w:ascii="Arial Narrow" w:hAnsi="Arial Narrow"/>
          <w:sz w:val="18"/>
        </w:rPr>
        <w:t>.  All payments under this Confirmation will be made without any deduction or withholding for or on account of any Tax, unless such deduction or withholding is required by any applicable law, as modified by the practice of any relevant governmental revenue authority then in effect. If a party is so required to deduct or withhold, then that party ("X") will: (1) promptly notify the other party ("Y") of such requirement; (2) pay to the relevant authorities the full amount required to be deducted or withheld (including the full amount required to be deducted or withheld from any additional amount paid by X to Y under this Subsection (e)) promptly upon the earlier of determining that such deduction or withholding is required or receiving notice that such amount has been assessed against Y; (3) promptly forward to Y an official receipt (or a certified copy) or other documentation reasonably acceptable to Y evidencing such payment to such authorities; and  (4) if such Tax is an Indemnifiable Tax, pay to Y, in addition to the payment to which Y is otherwise entitled under this Confirmation,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(A) the failure by Y to comply with or perform any agreement contained in Subsection (c) or (d), or (B) the failure of a representation made by Y pursuant to Subsection (b) to be accurate and true, unless such failure would not have occurred but for a Change in Tax Law.</w:t>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 xml:space="preserve">(f)  </w:t>
      </w:r>
      <w:r>
        <w:rPr>
          <w:rFonts w:cs="Arial Narrow" w:ascii="Arial Narrow" w:hAnsi="Arial Narrow"/>
          <w:sz w:val="18"/>
          <w:u w:val="single"/>
        </w:rPr>
        <w:t>Liability</w:t>
      </w:r>
      <w:r>
        <w:rPr>
          <w:rFonts w:cs="Arial Narrow" w:ascii="Arial Narrow" w:hAnsi="Arial Narrow"/>
          <w:sz w:val="18"/>
        </w:rPr>
        <w:t>.  If: (1) X is required by any applicable law, as modified by the practice of any relevant governmental revenue authority, to make any deduction or withholding in respect of which X would not be required to pay an additional amount to Y under Subsection (e)(4); (2)  X does not so deduct or withhold; and (3) a liability resulting from such Tax is assessed directly against X, then, except to the extent Y has satisfied or then satisfies the liability resulting from such Tax, Y will promptly pay to X the amount of such liability (including any related liability for interest, but including any related liability for penalties only if Y failed to comply with or perform any agreement contained in Subsection (c) or (d)).</w:t>
      </w:r>
    </w:p>
    <w:p>
      <w:pPr>
        <w:pStyle w:val="Normal"/>
        <w:tabs>
          <w:tab w:val="clear" w:pos="720"/>
          <w:tab w:val="left" w:pos="53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 xml:space="preserve">(g)  </w:t>
      </w:r>
      <w:r>
        <w:rPr>
          <w:rFonts w:cs="Arial Narrow" w:ascii="Arial Narrow" w:hAnsi="Arial Narrow"/>
          <w:sz w:val="18"/>
          <w:u w:val="single"/>
        </w:rPr>
        <w:t>Change in Tax Law</w:t>
      </w:r>
      <w:r>
        <w:rPr>
          <w:rFonts w:cs="Arial Narrow" w:ascii="Arial Narrow" w:hAnsi="Arial Narrow"/>
          <w:sz w:val="18"/>
        </w:rPr>
        <w:t>.  If, as a result of a Change in Tax Law, Counterparty or ENA will, or there is a substantial likelihood that it will, on the next succeeding payment date (1) be required to pay to the other party an additional amount in respect of an Indemnifiable Tax (except in respect of any interest payable under the Confirmation), or (2) receive a payment from which an amount is required to be deducted or withheld on account of a Tax (except in respect of any interest payable under the Confirmation), and no additional amount is required to be paid in respect of such Tax under Subsection (e)(4) (other than by reason of Subsection (e)(4)(A) or (B)), then such party may, in its sole discretion, upon two (2) Business Days notice to the other party, designate an Early Termination Date under Section 4 of Annex A.  For purposes of calculating Gains, Losses and Costs under Section 4 of Annex A, the party designating the Early Termination Date as a result of a Change in Tax Law shall be treated as the Defaulting Party, and the other party shall be treated as the non-defaulting party.</w:t>
      </w:r>
    </w:p>
    <w:p>
      <w:pPr>
        <w:pStyle w:val="Normal"/>
        <w:tabs>
          <w:tab w:val="clear" w:pos="720"/>
          <w:tab w:val="left" w:pos="531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198"/>
        <w:jc w:val="both"/>
        <w:rPr/>
      </w:pPr>
      <w:r>
        <w:rPr>
          <w:rFonts w:cs="Arial Narrow" w:ascii="Arial Narrow" w:hAnsi="Arial Narrow"/>
          <w:sz w:val="18"/>
        </w:rPr>
        <w:t xml:space="preserve">(h)  </w:t>
      </w:r>
      <w:r>
        <w:rPr>
          <w:rFonts w:cs="Arial Narrow" w:ascii="Arial Narrow" w:hAnsi="Arial Narrow"/>
          <w:sz w:val="18"/>
          <w:u w:val="single"/>
        </w:rPr>
        <w:t>Miscellaneous</w:t>
      </w:r>
      <w:r>
        <w:rPr>
          <w:rFonts w:cs="Arial Narrow" w:ascii="Arial Narrow" w:hAnsi="Arial Narrow"/>
          <w:sz w:val="18"/>
        </w:rPr>
        <w:t>.  The representations set forth in this Section supersede and replace the representations in Sections 1(a)(iii) and 1(a)(iv) of Annex A.  It shall not be an Event of Default under this Confirmation if any of the representations or warranties contained in this Section prove to have been false or misleading in any material respect or if a party breaches any agreement or covenant in this Section.</w:t>
      </w:r>
    </w:p>
    <w:p>
      <w:pPr>
        <w:pStyle w:val="Normal"/>
        <w:tabs>
          <w:tab w:val="clear" w:pos="720"/>
          <w:tab w:val="left" w:pos="53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198"/>
        <w:jc w:val="both"/>
        <w:rPr/>
      </w:pPr>
      <w:r>
        <w:rPr>
          <w:rFonts w:cs="Arial Narrow" w:ascii="Arial Narrow" w:hAnsi="Arial Narrow"/>
          <w:sz w:val="18"/>
        </w:rPr>
        <w:t xml:space="preserve">(i)  </w:t>
      </w:r>
      <w:r>
        <w:rPr>
          <w:rFonts w:cs="Arial Narrow" w:ascii="Arial Narrow" w:hAnsi="Arial Narrow"/>
          <w:sz w:val="18"/>
          <w:u w:val="single"/>
        </w:rPr>
        <w:t>Definitions</w:t>
      </w:r>
      <w:r>
        <w:rPr>
          <w:rFonts w:cs="Arial Narrow" w:ascii="Arial Narrow" w:hAnsi="Arial Narrow"/>
          <w:sz w:val="18"/>
        </w:rPr>
        <w:t>.  As used in this Section:</w:t>
      </w:r>
    </w:p>
    <w:p>
      <w:pPr>
        <w:pStyle w:val="Normal"/>
        <w:tabs>
          <w:tab w:val="clear" w:pos="720"/>
          <w:tab w:val="left" w:pos="53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w:t>
      </w:r>
      <w:r>
        <w:rPr>
          <w:rFonts w:cs="Arial Narrow" w:ascii="Arial Narrow" w:hAnsi="Arial Narrow"/>
          <w:i/>
          <w:sz w:val="18"/>
          <w:u w:val="single"/>
        </w:rPr>
        <w:t>Tax</w:t>
      </w:r>
      <w:r>
        <w:rPr>
          <w:rFonts w:cs="Arial Narrow" w:ascii="Arial Narrow" w:hAnsi="Arial Narrow"/>
          <w:sz w:val="18"/>
        </w:rPr>
        <w:t>" shall mean any present or future tax, levy, impost, duty, charge, assessment or fee of any nature (including any increase in the rate thereof and any interest, penalties and additions thereto) that is imposed by any government or other taxing authority in respect of any payment made under this Confirmation, other than a stamp, registration, documentation or similar tax.</w:t>
      </w:r>
    </w:p>
    <w:p>
      <w:pPr>
        <w:pStyle w:val="Normal"/>
        <w:tabs>
          <w:tab w:val="clear" w:pos="720"/>
          <w:tab w:val="left" w:pos="53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w:t>
      </w:r>
      <w:r>
        <w:rPr>
          <w:rFonts w:cs="Arial Narrow" w:ascii="Arial Narrow" w:hAnsi="Arial Narrow"/>
          <w:i/>
          <w:sz w:val="18"/>
          <w:u w:val="single"/>
        </w:rPr>
        <w:t>Indemnifiable Tax</w:t>
      </w:r>
      <w:r>
        <w:rPr>
          <w:rFonts w:cs="Arial Narrow" w:ascii="Arial Narrow" w:hAnsi="Arial Narrow"/>
          <w:sz w:val="18"/>
        </w:rPr>
        <w:t>" shall mean any Tax, other than a Tax that would not be imposed in respect of a payment made under this Confirmation but for a present or former connection between the jurisdiction of the government or taxing authority imposing such Tax and the recipient of such payment or a person related to such recipient (including, without limitation, a connection arising from such recipient or related person (1) being or having been a citizen or resident of, (2) being or having been organized in, (3) being or having been present or engaged in a trade or business in or (4) having or having had a permanent establishment or fixed place of business in, that jurisdiction), but excluding a connection arising solely from that recipient's or related person's having executed, delivered, enforced or performed obligations or received a payment under this Confirmation or any related credit support document.</w:t>
      </w:r>
    </w:p>
    <w:p>
      <w:pPr>
        <w:pStyle w:val="Normal"/>
        <w:tabs>
          <w:tab w:val="clear" w:pos="720"/>
          <w:tab w:val="left" w:pos="53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w:t>
      </w:r>
      <w:r>
        <w:rPr>
          <w:rFonts w:cs="Arial Narrow" w:ascii="Arial Narrow" w:hAnsi="Arial Narrow"/>
          <w:i/>
          <w:sz w:val="18"/>
          <w:u w:val="single"/>
        </w:rPr>
        <w:t>Change in Tax Law</w:t>
      </w:r>
      <w:r>
        <w:rPr>
          <w:rFonts w:cs="Arial Narrow" w:ascii="Arial Narrow" w:hAnsi="Arial Narrow"/>
          <w:sz w:val="18"/>
        </w:rPr>
        <w:t>" shall mean any proposed or final rulemaking published by a taxing authority, or a final decision of a court of competent jurisdiction, after the date hereof (regardless of whether such rulemaking or final decision is made with respect to a party to this Confirmation), or the enactment, promulgation, execution, or ratification of, or any change in or amendment to, any law or regulation (or the application or interpretation of any law, as determined by a court or as determined by the opinion of independent counsel mutually acceptable to Counterparty and ENA) after the date hereof.</w:t>
      </w:r>
    </w:p>
    <w:p>
      <w:pPr>
        <w:pStyle w:val="Normal"/>
        <w:tabs>
          <w:tab w:val="clear" w:pos="720"/>
          <w:tab w:val="left" w:pos="5310" w:leader="none"/>
        </w:tabs>
        <w:ind w:end="198"/>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 xml:space="preserve">2.  </w:t>
      </w:r>
      <w:r>
        <w:rPr>
          <w:rFonts w:cs="Arial Narrow" w:ascii="Arial Narrow" w:hAnsi="Arial Narrow"/>
          <w:b/>
          <w:sz w:val="18"/>
          <w:u w:val="single"/>
        </w:rPr>
        <w:t>Interest Rate</w:t>
      </w:r>
      <w:r>
        <w:rPr>
          <w:rFonts w:cs="Arial Narrow" w:ascii="Arial Narrow" w:hAnsi="Arial Narrow"/>
          <w:b/>
          <w:sz w:val="18"/>
        </w:rPr>
        <w:t>.</w:t>
      </w:r>
      <w:r>
        <w:rPr>
          <w:rFonts w:cs="Arial Narrow" w:ascii="Arial Narrow" w:hAnsi="Arial Narrow"/>
          <w:sz w:val="18"/>
        </w:rPr>
        <w:t xml:space="preserve">  An Interest Rate expressed as an annual rate shall, to comply with applicable law, be equivalent to such interest rate multiplied by the actual number of days in the calendar year in which the same is to be determined and divided by 365/366, as the case may be.  The Interest Rate shall not exceed the maximum interest rate that at any time or from time to time may be contracted for, taken, reserved, charged, or received under applicable law.</w:t>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 xml:space="preserve">3.  </w:t>
      </w:r>
      <w:r>
        <w:rPr>
          <w:rFonts w:cs="Arial Narrow" w:ascii="Arial Narrow" w:hAnsi="Arial Narrow"/>
          <w:b/>
          <w:sz w:val="18"/>
          <w:u w:val="single"/>
        </w:rPr>
        <w:t>Currency Provisions</w:t>
      </w:r>
      <w:r>
        <w:rPr>
          <w:rFonts w:cs="Arial Narrow" w:ascii="Arial Narrow" w:hAnsi="Arial Narrow"/>
          <w:sz w:val="18"/>
        </w:rPr>
        <w:t>.  Each payment under this Confirmation will be made in the Contractual Currency.  To the extent permitted by applicable law, if any judgment or order expressed in a currency other than the Contractual Currency is rendered for the payment of any amount owing under this Confirmation, the party seeking recovery, after recovery in full of the aggregate amount to which such party is entitled pursuant to the judgment or order, will be entitled to receive immediately from the other party the amount of any shortfall of the Contractual Currency received by such party as a consequence of sums paid in such other currency and will promptly refund to the other party any excess of the Contractual Currency received by such party as a result of sums paid in such other currency if such shortfall or excess arises or results from any variation between the exchange rate (including any premiums and exchange costs) at which the Contractual Currency is converted into the currency of the judgment or order for purposes of the judgment or order and the exchange rate (including any premiums and exchange costs) at which such party is able, acting in a reasonable and good faith manner in converting the currency received into the Contractual Currency, to purchase the Contractual Currency with the amount of the currency of the judgment or order actually received by such party.</w:t>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 xml:space="preserve">4.  </w:t>
      </w:r>
      <w:r>
        <w:rPr>
          <w:rFonts w:cs="Arial Narrow" w:ascii="Arial Narrow" w:hAnsi="Arial Narrow"/>
          <w:b/>
          <w:sz w:val="18"/>
          <w:u w:val="single"/>
        </w:rPr>
        <w:t>Canadian Securities Acts</w:t>
      </w:r>
      <w:r>
        <w:rPr>
          <w:rFonts w:cs="Arial Narrow" w:ascii="Arial Narrow" w:hAnsi="Arial Narrow"/>
          <w:sz w:val="18"/>
        </w:rPr>
        <w:t>.  Counterparty does hereby represent and warrant that each Transaction shall constitute an "OTC Derivative" as defined in paragraph 4 of the Alberta Securities Commission Order Doc#394043 and paragraph 1.1 of the British Columbia Securities Commission Blanket Order BOR#91-501 (BC), and it is a "Qualified Party" within the meaning of paragraphs 9.1 and 1.1 of such orders, respectively, as in effect on the date hereof.</w:t>
      </w:r>
    </w:p>
    <w:p>
      <w:pPr>
        <w:pStyle w:val="Normal"/>
        <w:jc w:val="both"/>
        <w:rPr>
          <w:rFonts w:ascii="Arial Narrow" w:hAnsi="Arial Narrow" w:cs="Arial Narrow"/>
          <w:sz w:val="18"/>
        </w:rPr>
      </w:pPr>
      <w:r>
        <w:rPr>
          <w:rFonts w:cs="Arial Narrow" w:ascii="Arial Narrow" w:hAnsi="Arial Narrow"/>
          <w:sz w:val="18"/>
        </w:rPr>
      </w:r>
    </w:p>
    <w:sectPr>
      <w:type w:val="continuous"/>
      <w:pgSz w:w="12240" w:h="15840"/>
      <w:pgMar w:left="1152" w:right="864" w:gutter="0" w:header="720" w:top="864" w:footer="0" w:bottom="864"/>
      <w:cols w:num="2" w:space="720"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s>
      <w:rPr>
        <w:sz w:val="20"/>
      </w:rPr>
    </w:pPr>
    <w:r>
      <w:rPr/>
      <w:tab/>
      <w:tab/>
      <w:tab/>
    </w:r>
  </w:p>
  <w:p>
    <w:pPr>
      <w:pStyle w:val="Header"/>
      <w:tabs>
        <w:tab w:val="clear" w:pos="8640"/>
        <w:tab w:val="center" w:pos="4320" w:leader="none"/>
        <w:tab w:val="right" w:pos="7200" w:leader="none"/>
      </w:tabs>
      <w:rPr/>
    </w:pPr>
    <w:r>
      <w:rPr/>
      <w:tab/>
      <w:tab/>
    </w:r>
    <w:r>
      <w:rPr>
        <w:sz w:val="20"/>
      </w:rPr>
      <w:t xml:space="preserve">Deal No. </w:t>
    </w:r>
    <w:r>
      <w:rPr>
        <w:sz w:val="22"/>
      </w:rPr>
      <w:fldChar w:fldCharType="begin"/>
    </w:r>
    <w:r>
      <w:rPr>
        <w:sz w:val="22"/>
      </w:rPr>
      <w:instrText xml:space="preserve"> TITLE </w:instrText>
    </w:r>
    <w:r>
      <w:rPr>
        <w:sz w:val="22"/>
      </w:rPr>
      <w:fldChar w:fldCharType="separate"/>
    </w:r>
    <w:r>
      <w:rPr>
        <w:sz w:val="22"/>
      </w:rPr>
      <w:t>717992.01</w:t>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character" w:styleId="LineNumber">
    <w:name w:val="lin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autoSpaceDE w:val="false"/>
      <w:ind w:firstLine="720" w:start="0" w:end="0"/>
    </w:pPr>
    <w:rPr>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image" Target="media/image1.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2001-10-02T13:32:00Z</dcterms:created>
  <dc:creator>ECT</dc:creator>
  <dc:description/>
  <dc:language>en-CA</dc:language>
  <cp:lastModifiedBy>khundl</cp:lastModifiedBy>
  <dcterms:modified xsi:type="dcterms:W3CDTF">2001-10-02T13:32:00Z</dcterms:modified>
  <cp:revision>2</cp:revision>
  <dc:subject/>
  <dc:title>717992.01</dc:title>
</cp:coreProperties>
</file>