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7.wmf" ContentType="image/x-wmf"/>
  <Override PartName="/word/media/image8.wmf" ContentType="image/x-wmf"/>
  <Override PartName="/word/media/image9.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numPr>
          <w:ilvl w:val="0"/>
          <w:numId w:val="0"/>
        </w:numPr>
        <w:spacing w:before="400" w:after="120"/>
        <w:ind w:start="-840" w:firstLine="840" w:end="0"/>
        <w:outlineLvl w:val="0"/>
        <w:rPr>
          <w:rFonts w:ascii="Times New Roman" w:hAnsi="Times New Roman" w:cs="Times New Roman"/>
        </w:rPr>
      </w:pPr>
      <w:r>
        <w:rPr>
          <w:rFonts w:cs="Times New Roman" w:ascii="Times New Roman" w:hAnsi="Times New Roman"/>
          <w:sz w:val="36"/>
        </w:rPr>
        <w:t>Memo</w:t>
      </w:r>
      <w:r>
        <mc:AlternateContent>
          <mc:Choice Requires="wps">
            <w:drawing>
              <wp:anchor behindDoc="0" distT="0" distB="0" distL="114300" distR="114300" simplePos="0" locked="0" layoutInCell="0" allowOverlap="1" relativeHeight="2">
                <wp:simplePos x="0" y="0"/>
                <wp:positionH relativeFrom="page">
                  <wp:posOffset>367665</wp:posOffset>
                </wp:positionH>
                <wp:positionV relativeFrom="paragraph">
                  <wp:posOffset>-797560</wp:posOffset>
                </wp:positionV>
                <wp:extent cx="1129665" cy="1129030"/>
                <wp:effectExtent l="0" t="0" r="0" b="0"/>
                <wp:wrapSquare wrapText="bothSides"/>
                <wp:docPr id="1" name="Frame1"/>
                <a:graphic xmlns:a="http://schemas.openxmlformats.org/drawingml/2006/main">
                  <a:graphicData uri="http://schemas.microsoft.com/office/word/2010/wordprocessingShape">
                    <wps:wsp>
                      <wps:cNvSpPr txBox="1"/>
                      <wps:spPr>
                        <a:xfrm>
                          <a:off x="0" y="0"/>
                          <a:ext cx="1129665" cy="1129030"/>
                        </a:xfrm>
                        <a:prstGeom prst="rect"/>
                        <a:solidFill>
                          <a:srgbClr val="FFFFFF">
                            <a:alpha val="0"/>
                          </a:srgbClr>
                        </a:solidFill>
                      </wps:spPr>
                      <wps:txbx>
                        <w:txbxContent>
                          <w:p>
                            <w:pPr>
                              <w:pStyle w:val="Normal"/>
                              <w:rPr/>
                            </w:pPr>
                            <w:r>
                              <w:rPr/>
                              <w:object w:dxaOrig="1778" w:dyaOrig="177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88.9pt;height:88.9pt" filled="f" o:ole="">
                                  <v:imagedata r:id="rId3" o:title=""/>
                                </v:shape>
                                <o:OLEObject Type="Embed" ProgID="" ShapeID="ole_rId2" DrawAspect="Content" ObjectID="_1093342375" r:id="rId2"/>
                              </w:object>
                            </w:r>
                          </w:p>
                        </w:txbxContent>
                      </wps:txbx>
                      <wps:bodyPr anchor="t" lIns="0" tIns="0" rIns="0" bIns="0">
                        <a:noAutofit/>
                      </wps:bodyPr>
                    </wps:wsp>
                  </a:graphicData>
                </a:graphic>
              </wp:anchor>
            </w:drawing>
          </mc:Choice>
          <mc:Fallback>
            <w:pict>
              <v:rect fillcolor="#FFFFFF" style="position:absolute;rotation:-0;width:88.95pt;height:88.9pt;mso-wrap-distance-left:9pt;mso-wrap-distance-right:9pt;mso-wrap-distance-top:0pt;mso-wrap-distance-bottom:0pt;margin-top:-62.8pt;mso-position-vertical-relative:text;margin-left:28.95pt;mso-position-horizontal-relative:page">
                <v:fill opacity="0f"/>
                <v:textbox inset="0in,0in,0in,0in">
                  <w:txbxContent>
                    <w:p>
                      <w:pPr>
                        <w:pStyle w:val="Normal"/>
                        <w:rPr/>
                      </w:pPr>
                      <w:r>
                        <w:rPr/>
                        <w:object w:dxaOrig="1778" w:dyaOrig="1778">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88.9pt;height:88.9pt" filled="f" o:ole="">
                            <v:imagedata r:id="rId5" o:title=""/>
                          </v:shape>
                          <o:OLEObject Type="Embed" ProgID="" ShapeID="ole_rId4" DrawAspect="Content" ObjectID="_40094812" r:id="rId4"/>
                        </w:object>
                      </w:r>
                    </w:p>
                  </w:txbxContent>
                </v:textbox>
                <w10:wrap type="square"/>
              </v:rect>
            </w:pict>
          </mc:Fallback>
        </mc:AlternateContent>
      </w:r>
    </w:p>
    <w:p>
      <w:pPr>
        <w:pStyle w:val="MessageHeaderFirst"/>
        <w:rPr/>
      </w:pPr>
      <w:r>
        <w:rPr>
          <w:rStyle w:val="MessageHeaderLabel"/>
          <w:rFonts w:cs="Times New Roman" w:ascii="Times New Roman" w:hAnsi="Times New Roman"/>
        </w:rPr>
        <w:t>Date:</w:t>
      </w:r>
      <w:r>
        <w:rPr>
          <w:rFonts w:cs="Times New Roman" w:ascii="Times New Roman" w:hAnsi="Times New Roman"/>
        </w:rPr>
        <w:tab/>
      </w:r>
      <w:r>
        <w:rPr>
          <w:rFonts w:cs="Times New Roman" w:ascii="Times New Roman" w:hAnsi="Times New Roman"/>
          <w:sz w:val="24"/>
        </w:rPr>
        <w:t>December 2000</w:t>
      </w:r>
    </w:p>
    <w:p>
      <w:pPr>
        <w:pStyle w:val="MessageHeaderFirst"/>
        <w:rPr/>
      </w:pPr>
      <w:r>
        <w:rPr>
          <w:rStyle w:val="MessageHeaderLabel"/>
          <w:rFonts w:cs="Times New Roman" w:ascii="Times New Roman" w:hAnsi="Times New Roman"/>
        </w:rPr>
        <w:t>To:</w:t>
      </w:r>
      <w:r>
        <w:rPr>
          <w:rFonts w:cs="Times New Roman" w:ascii="Times New Roman" w:hAnsi="Times New Roman"/>
        </w:rPr>
        <w:t xml:space="preserve">           John Sherriff, Richard Lewis, Simon Hastings, Fernley Dyson, Mike Jordan, David Port, Micheal Brown, Ted Murphy, Sally Beck, Chris Abel            </w:t>
      </w:r>
    </w:p>
    <w:p>
      <w:pPr>
        <w:pStyle w:val="MessageHeader"/>
        <w:ind w:hanging="0" w:start="0" w:end="0"/>
        <w:rPr>
          <w:rStyle w:val="MessageHeaderLabel"/>
          <w:rFonts w:ascii="Times New Roman" w:hAnsi="Times New Roman" w:cs="Times New Roman"/>
          <w:sz w:val="20"/>
        </w:rPr>
      </w:pPr>
      <w:r>
        <w:rPr>
          <w:rFonts w:cs="Times New Roman" w:ascii="Times New Roman" w:hAnsi="Times New Roman"/>
        </w:rPr>
      </w:r>
    </w:p>
    <w:p>
      <w:pPr>
        <w:pStyle w:val="MessageHeader"/>
        <w:numPr>
          <w:ilvl w:val="0"/>
          <w:numId w:val="0"/>
        </w:numPr>
        <w:ind w:hanging="0" w:start="0" w:end="0"/>
        <w:outlineLvl w:val="0"/>
        <w:rPr/>
      </w:pPr>
      <w:r>
        <w:rPr>
          <w:rStyle w:val="MessageHeaderLabel"/>
          <w:rFonts w:cs="Times New Roman" w:ascii="Times New Roman" w:hAnsi="Times New Roman"/>
        </w:rPr>
        <w:t>From:</w:t>
      </w:r>
      <w:r>
        <w:rPr>
          <w:rFonts w:cs="Times New Roman" w:ascii="Times New Roman" w:hAnsi="Times New Roman"/>
        </w:rPr>
        <w:tab/>
        <w:t>Mike Wellings/James New</w:t>
      </w:r>
    </w:p>
    <w:p>
      <w:pPr>
        <w:pStyle w:val="MessageHeaderLast"/>
        <w:pBdr>
          <w:bottom w:val="single" w:sz="6" w:space="17" w:color="000000"/>
        </w:pBdr>
        <w:ind w:hanging="0" w:start="0" w:end="0"/>
        <w:rPr/>
      </w:pPr>
      <w:r>
        <w:rPr>
          <w:rStyle w:val="MessageHeaderLabel"/>
          <w:rFonts w:cs="Times New Roman" w:ascii="Times New Roman" w:hAnsi="Times New Roman"/>
        </w:rPr>
        <w:t>Re:</w:t>
      </w:r>
      <w:r>
        <w:rPr>
          <w:rFonts w:cs="Times New Roman" w:ascii="Times New Roman" w:hAnsi="Times New Roman"/>
        </w:rPr>
        <w:tab/>
      </w:r>
      <w:r>
        <w:rPr>
          <w:rFonts w:cs="Times New Roman" w:ascii="Times New Roman" w:hAnsi="Times New Roman"/>
          <w:b/>
          <w:sz w:val="24"/>
          <w:u w:val="single"/>
        </w:rPr>
        <w:t>UK Power – November 2000 Curve Validation and Profit and Loss Report</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 xml:space="preserve">The purpose of this memorandum is to summarise our review of the UK Power Curves used as at the 30th November 2000 and analyse the reported profits of the book. </w:t>
      </w:r>
    </w:p>
    <w:p>
      <w:pPr>
        <w:pStyle w:val="MessageHeader"/>
        <w:numPr>
          <w:ilvl w:val="0"/>
          <w:numId w:val="0"/>
        </w:numPr>
        <w:tabs>
          <w:tab w:val="clear" w:pos="720"/>
          <w:tab w:val="left" w:pos="0" w:leader="none"/>
        </w:tabs>
        <w:ind w:hanging="720" w:start="720"/>
        <w:outlineLvl w:val="0"/>
        <w:rPr>
          <w:rFonts w:ascii="Times New Roman" w:hAnsi="Times New Roman" w:cs="Times New Roman"/>
        </w:rPr>
      </w:pPr>
      <w:r>
        <w:rPr>
          <w:rFonts w:cs="Times New Roman" w:ascii="Times New Roman" w:hAnsi="Times New Roman"/>
          <w:b/>
          <w:u w:val="single"/>
        </w:rPr>
        <w:t>A- Executive Summary</w:t>
      </w:r>
    </w:p>
    <w:p>
      <w:pPr>
        <w:pStyle w:val="MessageHeader"/>
        <w:tabs>
          <w:tab w:val="clear" w:pos="720"/>
          <w:tab w:val="left" w:pos="0" w:leader="none"/>
        </w:tabs>
        <w:ind w:hanging="0" w:start="0" w:end="0"/>
        <w:rPr/>
      </w:pPr>
      <w:r>
        <w:rPr>
          <w:rFonts w:cs="Times New Roman" w:ascii="Times New Roman" w:hAnsi="Times New Roman"/>
        </w:rPr>
        <w:tab/>
        <w:t xml:space="preserve">Having reviewed and validated the 30th November 2000 UK Power Curves and considered the appropriateness of any significant changes in inputs and assumptions, we conclude the curves are fairly constructed with an objective methodology, using the latest data, where available, and are consistent with relevant market information. The profit for the month of November was </w:t>
      </w:r>
      <w:r>
        <w:rPr>
          <w:rFonts w:cs="Times New Roman" w:ascii="Times New Roman" w:hAnsi="Times New Roman"/>
          <w:b/>
        </w:rPr>
        <w:t>£19.5m</w:t>
      </w:r>
      <w:r>
        <w:rPr>
          <w:rFonts w:cs="Times New Roman" w:ascii="Times New Roman" w:hAnsi="Times New Roman"/>
        </w:rPr>
        <w:t xml:space="preserve"> (October  £4.4m profit) and the t</w:t>
      </w:r>
      <w:r>
        <w:rPr>
          <w:rFonts w:cs="Times New Roman" w:ascii="Times New Roman" w:hAnsi="Times New Roman"/>
          <w:b/>
        </w:rPr>
        <w:t>otal net assets</w:t>
      </w:r>
      <w:r>
        <w:rPr>
          <w:rFonts w:cs="Times New Roman" w:ascii="Times New Roman" w:hAnsi="Times New Roman"/>
        </w:rPr>
        <w:t xml:space="preserve"> were </w:t>
      </w:r>
      <w:r>
        <w:rPr>
          <w:rFonts w:cs="Times New Roman" w:ascii="Times New Roman" w:hAnsi="Times New Roman"/>
          <w:b/>
        </w:rPr>
        <w:t xml:space="preserve">£308.6m </w:t>
      </w:r>
      <w:r>
        <w:rPr>
          <w:rFonts w:cs="Times New Roman" w:ascii="Times New Roman" w:hAnsi="Times New Roman"/>
        </w:rPr>
        <w:t>(October  £289.1m).</w:t>
      </w:r>
    </w:p>
    <w:p>
      <w:pPr>
        <w:pStyle w:val="MessageHeader"/>
        <w:numPr>
          <w:ilvl w:val="0"/>
          <w:numId w:val="0"/>
        </w:numPr>
        <w:tabs>
          <w:tab w:val="clear" w:pos="720"/>
          <w:tab w:val="left" w:pos="0" w:leader="none"/>
        </w:tabs>
        <w:ind w:hanging="0" w:start="0" w:end="0"/>
        <w:outlineLvl w:val="0"/>
        <w:rPr/>
      </w:pPr>
      <w:r>
        <w:rPr>
          <w:rFonts w:cs="Times New Roman" w:ascii="Times New Roman" w:hAnsi="Times New Roman"/>
        </w:rPr>
        <w:t xml:space="preserve">Of the profit of  </w:t>
      </w:r>
      <w:r>
        <w:rPr>
          <w:rFonts w:cs="Times New Roman" w:ascii="Times New Roman" w:hAnsi="Times New Roman"/>
          <w:b/>
        </w:rPr>
        <w:t>£19.5m the main drivers were:</w:t>
      </w:r>
    </w:p>
    <w:p>
      <w:pPr>
        <w:pStyle w:val="MessageHeader"/>
        <w:numPr>
          <w:ilvl w:val="0"/>
          <w:numId w:val="6"/>
        </w:numPr>
        <w:tabs>
          <w:tab w:val="clear" w:pos="720"/>
          <w:tab w:val="left" w:pos="0" w:leader="none"/>
        </w:tabs>
        <w:rPr>
          <w:rFonts w:ascii="Times New Roman" w:hAnsi="Times New Roman" w:cs="Times New Roman"/>
        </w:rPr>
      </w:pPr>
      <w:r>
        <w:rPr>
          <w:rFonts w:cs="Times New Roman" w:ascii="Times New Roman" w:hAnsi="Times New Roman"/>
          <w:b/>
        </w:rPr>
        <w:t>£6.6m profit for intramonth on falling prices</w:t>
      </w:r>
    </w:p>
    <w:p>
      <w:pPr>
        <w:pStyle w:val="MessageHeader"/>
        <w:numPr>
          <w:ilvl w:val="0"/>
          <w:numId w:val="6"/>
        </w:numPr>
        <w:tabs>
          <w:tab w:val="clear" w:pos="720"/>
          <w:tab w:val="left" w:pos="0" w:leader="none"/>
        </w:tabs>
        <w:rPr>
          <w:rFonts w:ascii="Times New Roman" w:hAnsi="Times New Roman" w:cs="Times New Roman"/>
        </w:rPr>
      </w:pPr>
      <w:r>
        <w:rPr>
          <w:rFonts w:cs="Times New Roman" w:ascii="Times New Roman" w:hAnsi="Times New Roman"/>
          <w:b/>
        </w:rPr>
        <w:t>£6.6m profit due to forward curve and origination earnings</w:t>
      </w:r>
    </w:p>
    <w:p>
      <w:pPr>
        <w:pStyle w:val="MessageHeader"/>
        <w:numPr>
          <w:ilvl w:val="0"/>
          <w:numId w:val="6"/>
        </w:numPr>
        <w:tabs>
          <w:tab w:val="clear" w:pos="720"/>
          <w:tab w:val="left" w:pos="0" w:leader="none"/>
        </w:tabs>
        <w:rPr>
          <w:rFonts w:ascii="Times New Roman" w:hAnsi="Times New Roman" w:cs="Times New Roman"/>
        </w:rPr>
      </w:pPr>
      <w:r>
        <w:rPr>
          <w:rFonts w:cs="Times New Roman" w:ascii="Times New Roman" w:hAnsi="Times New Roman"/>
          <w:b/>
        </w:rPr>
        <w:t>£7.8m profit on Energy Trends</w:t>
      </w:r>
    </w:p>
    <w:p>
      <w:pPr>
        <w:pStyle w:val="MessageHeader"/>
        <w:numPr>
          <w:ilvl w:val="0"/>
          <w:numId w:val="6"/>
        </w:numPr>
        <w:tabs>
          <w:tab w:val="clear" w:pos="720"/>
          <w:tab w:val="left" w:pos="0" w:leader="none"/>
        </w:tabs>
        <w:rPr>
          <w:rFonts w:ascii="Times New Roman" w:hAnsi="Times New Roman" w:cs="Times New Roman"/>
          <w:b/>
        </w:rPr>
      </w:pPr>
      <w:r>
        <w:rPr>
          <w:rFonts w:cs="Times New Roman" w:ascii="Times New Roman" w:hAnsi="Times New Roman"/>
          <w:b/>
        </w:rPr>
        <w:t>£1.5m loss on Inter connector Availability</w:t>
      </w:r>
    </w:p>
    <w:tbl>
      <w:tblPr>
        <w:tblW w:w="7880" w:type="dxa"/>
        <w:jc w:val="start"/>
        <w:tblInd w:w="-10" w:type="dxa"/>
        <w:tblLayout w:type="fixed"/>
        <w:tblCellMar>
          <w:top w:w="0" w:type="dxa"/>
          <w:start w:w="0" w:type="dxa"/>
          <w:bottom w:w="0" w:type="dxa"/>
          <w:end w:w="0" w:type="dxa"/>
        </w:tblCellMar>
      </w:tblPr>
      <w:tblGrid>
        <w:gridCol w:w="1248"/>
        <w:gridCol w:w="1536"/>
        <w:gridCol w:w="976"/>
        <w:gridCol w:w="1376"/>
        <w:gridCol w:w="1376"/>
        <w:gridCol w:w="1368"/>
      </w:tblGrid>
      <w:tr>
        <w:trPr>
          <w:trHeight w:val="255" w:hRule="atLeast"/>
        </w:trPr>
        <w:tc>
          <w:tcPr>
            <w:tcW w:w="1248" w:type="dxa"/>
            <w:tcBorders>
              <w:top w:val="single" w:sz="8" w:space="0" w:color="000000"/>
              <w:start w:val="single" w:sz="8" w:space="0" w:color="000000"/>
            </w:tcBorders>
            <w:shd w:fill="C0C0C0" w:val="clear"/>
          </w:tcPr>
          <w:p>
            <w:pPr>
              <w:pStyle w:val="Normal"/>
              <w:jc w:val="center"/>
              <w:rPr>
                <w:rFonts w:ascii="Times New Roman" w:hAnsi="Times New Roman" w:eastAsia="Arial Unicode MS" w:cs="Times New Roman"/>
                <w:b/>
              </w:rPr>
            </w:pPr>
            <w:r>
              <w:rPr>
                <w:rFonts w:cs="Times New Roman" w:ascii="Times New Roman" w:hAnsi="Times New Roman"/>
                <w:b/>
              </w:rPr>
              <w:t>Delta (Fwd)</w:t>
            </w:r>
          </w:p>
        </w:tc>
        <w:tc>
          <w:tcPr>
            <w:tcW w:w="1536" w:type="dxa"/>
            <w:tcBorders>
              <w:top w:val="single" w:sz="8" w:space="0" w:color="000000"/>
            </w:tcBorders>
            <w:shd w:fill="C0C0C0" w:val="clear"/>
          </w:tcPr>
          <w:p>
            <w:pPr>
              <w:pStyle w:val="Normal"/>
              <w:jc w:val="center"/>
              <w:rPr>
                <w:rFonts w:ascii="Times New Roman" w:hAnsi="Times New Roman" w:eastAsia="Arial Unicode MS" w:cs="Times New Roman"/>
                <w:b/>
              </w:rPr>
            </w:pPr>
            <w:r>
              <w:rPr>
                <w:rFonts w:cs="Times New Roman" w:ascii="Times New Roman" w:hAnsi="Times New Roman"/>
                <w:b/>
              </w:rPr>
              <w:t>Delta (I month)</w:t>
            </w:r>
          </w:p>
        </w:tc>
        <w:tc>
          <w:tcPr>
            <w:tcW w:w="976" w:type="dxa"/>
            <w:tcBorders>
              <w:top w:val="single" w:sz="8" w:space="0" w:color="000000"/>
            </w:tcBorders>
            <w:shd w:fill="C0C0C0" w:val="clear"/>
          </w:tcPr>
          <w:p>
            <w:pPr>
              <w:pStyle w:val="Normal"/>
              <w:jc w:val="center"/>
              <w:rPr>
                <w:rFonts w:ascii="Times New Roman" w:hAnsi="Times New Roman" w:eastAsia="Arial Unicode MS" w:cs="Times New Roman"/>
                <w:b/>
              </w:rPr>
            </w:pPr>
            <w:r>
              <w:rPr>
                <w:rFonts w:cs="Times New Roman" w:ascii="Times New Roman" w:hAnsi="Times New Roman"/>
                <w:b/>
              </w:rPr>
              <w:t>Gamma</w:t>
            </w:r>
          </w:p>
        </w:tc>
        <w:tc>
          <w:tcPr>
            <w:tcW w:w="1376" w:type="dxa"/>
            <w:tcBorders>
              <w:top w:val="single" w:sz="8" w:space="0" w:color="000000"/>
            </w:tcBorders>
            <w:shd w:fill="C0C0C0" w:val="clear"/>
          </w:tcPr>
          <w:p>
            <w:pPr>
              <w:pStyle w:val="Normal"/>
              <w:jc w:val="center"/>
              <w:rPr>
                <w:rFonts w:ascii="Times New Roman" w:hAnsi="Times New Roman" w:eastAsia="Arial Unicode MS" w:cs="Times New Roman"/>
                <w:b/>
              </w:rPr>
            </w:pPr>
            <w:r>
              <w:rPr>
                <w:rFonts w:cs="Times New Roman" w:ascii="Times New Roman" w:hAnsi="Times New Roman"/>
                <w:b/>
              </w:rPr>
              <w:t>Vega</w:t>
            </w:r>
          </w:p>
        </w:tc>
        <w:tc>
          <w:tcPr>
            <w:tcW w:w="1376" w:type="dxa"/>
            <w:tcBorders>
              <w:top w:val="single" w:sz="8" w:space="0" w:color="000000"/>
            </w:tcBorders>
            <w:shd w:fill="C0C0C0" w:val="clear"/>
          </w:tcPr>
          <w:p>
            <w:pPr>
              <w:pStyle w:val="Normal"/>
              <w:jc w:val="center"/>
              <w:rPr>
                <w:rFonts w:ascii="Times New Roman" w:hAnsi="Times New Roman" w:eastAsia="Arial Unicode MS" w:cs="Times New Roman"/>
                <w:b/>
              </w:rPr>
            </w:pPr>
            <w:r>
              <w:rPr>
                <w:rFonts w:cs="Times New Roman" w:ascii="Times New Roman" w:hAnsi="Times New Roman"/>
                <w:b/>
              </w:rPr>
              <w:t>Theta</w:t>
            </w:r>
          </w:p>
        </w:tc>
        <w:tc>
          <w:tcPr>
            <w:tcW w:w="1368" w:type="dxa"/>
            <w:tcBorders>
              <w:top w:val="single" w:sz="8" w:space="0" w:color="000000"/>
              <w:end w:val="single" w:sz="8" w:space="0" w:color="000000"/>
            </w:tcBorders>
            <w:shd w:fill="C0C0C0" w:val="clear"/>
          </w:tcPr>
          <w:p>
            <w:pPr>
              <w:pStyle w:val="Normal"/>
              <w:jc w:val="center"/>
              <w:rPr>
                <w:rFonts w:ascii="Times New Roman" w:hAnsi="Times New Roman" w:eastAsia="Arial Unicode MS" w:cs="Times New Roman"/>
                <w:b/>
              </w:rPr>
            </w:pPr>
            <w:r>
              <w:rPr>
                <w:rFonts w:cs="Times New Roman" w:ascii="Times New Roman" w:hAnsi="Times New Roman"/>
                <w:b/>
              </w:rPr>
              <w:t>Rho</w:t>
            </w:r>
          </w:p>
        </w:tc>
      </w:tr>
      <w:tr>
        <w:trPr>
          <w:trHeight w:val="255" w:hRule="atLeast"/>
        </w:trPr>
        <w:tc>
          <w:tcPr>
            <w:tcW w:w="1248" w:type="dxa"/>
            <w:tcBorders>
              <w:start w:val="single" w:sz="8" w:space="0" w:color="000000"/>
            </w:tcBorders>
            <w:shd w:fill="FFFFFF" w:val="clear"/>
            <w:vAlign w:val="bottom"/>
          </w:tcPr>
          <w:p>
            <w:pPr>
              <w:pStyle w:val="Normal"/>
              <w:jc w:val="center"/>
              <w:rPr>
                <w:rFonts w:ascii="Times New Roman" w:hAnsi="Times New Roman" w:eastAsia="Arial Unicode MS" w:cs="Times New Roman"/>
              </w:rPr>
            </w:pPr>
            <w:r>
              <w:rPr>
                <w:rFonts w:cs="Times New Roman" w:ascii="Times New Roman" w:hAnsi="Times New Roman"/>
              </w:rPr>
              <w:t>13,655,608</w:t>
            </w:r>
          </w:p>
        </w:tc>
        <w:tc>
          <w:tcPr>
            <w:tcW w:w="1536" w:type="dxa"/>
            <w:tcBorders/>
            <w:shd w:fill="FFFFFF" w:val="clear"/>
            <w:vAlign w:val="bottom"/>
          </w:tcPr>
          <w:p>
            <w:pPr>
              <w:pStyle w:val="Normal"/>
              <w:jc w:val="center"/>
              <w:rPr>
                <w:rFonts w:ascii="Times New Roman" w:hAnsi="Times New Roman" w:eastAsia="Arial Unicode MS" w:cs="Times New Roman"/>
              </w:rPr>
            </w:pPr>
            <w:r>
              <w:rPr>
                <w:rFonts w:cs="Times New Roman" w:ascii="Times New Roman" w:hAnsi="Times New Roman"/>
              </w:rPr>
              <w:t>6,626,569</w:t>
            </w:r>
          </w:p>
        </w:tc>
        <w:tc>
          <w:tcPr>
            <w:tcW w:w="976" w:type="dxa"/>
            <w:tcBorders/>
            <w:shd w:fill="FFFFFF" w:val="clear"/>
            <w:vAlign w:val="bottom"/>
          </w:tcPr>
          <w:p>
            <w:pPr>
              <w:pStyle w:val="Normal"/>
              <w:jc w:val="center"/>
              <w:rPr>
                <w:rFonts w:ascii="Times New Roman" w:hAnsi="Times New Roman" w:eastAsia="Arial Unicode MS" w:cs="Times New Roman"/>
              </w:rPr>
            </w:pPr>
            <w:r>
              <w:rPr>
                <w:rFonts w:cs="Times New Roman" w:ascii="Times New Roman" w:hAnsi="Times New Roman"/>
                <w:color w:val="FF0000"/>
              </w:rPr>
              <w:t>(5,643)</w:t>
            </w:r>
          </w:p>
        </w:tc>
        <w:tc>
          <w:tcPr>
            <w:tcW w:w="1376" w:type="dxa"/>
            <w:tcBorders/>
            <w:shd w:fill="FFFFFF" w:val="clear"/>
            <w:vAlign w:val="bottom"/>
          </w:tcPr>
          <w:p>
            <w:pPr>
              <w:pStyle w:val="Normal"/>
              <w:jc w:val="center"/>
              <w:rPr>
                <w:rFonts w:ascii="Times New Roman" w:hAnsi="Times New Roman" w:eastAsia="Arial Unicode MS" w:cs="Times New Roman"/>
              </w:rPr>
            </w:pPr>
            <w:r>
              <w:rPr>
                <w:rFonts w:cs="Times New Roman" w:ascii="Times New Roman" w:hAnsi="Times New Roman"/>
                <w:color w:val="FF0000"/>
              </w:rPr>
              <w:t>(103)</w:t>
            </w:r>
          </w:p>
        </w:tc>
        <w:tc>
          <w:tcPr>
            <w:tcW w:w="1376" w:type="dxa"/>
            <w:tcBorders/>
            <w:shd w:fill="FFFFFF" w:val="clear"/>
            <w:vAlign w:val="bottom"/>
          </w:tcPr>
          <w:p>
            <w:pPr>
              <w:pStyle w:val="Normal"/>
              <w:jc w:val="center"/>
              <w:rPr>
                <w:rFonts w:ascii="Times New Roman" w:hAnsi="Times New Roman" w:eastAsia="Arial Unicode MS" w:cs="Times New Roman"/>
              </w:rPr>
            </w:pPr>
            <w:r>
              <w:rPr>
                <w:rFonts w:cs="Times New Roman" w:ascii="Times New Roman" w:hAnsi="Times New Roman"/>
              </w:rPr>
              <w:t>8,910</w:t>
            </w:r>
          </w:p>
        </w:tc>
        <w:tc>
          <w:tcPr>
            <w:tcW w:w="1368" w:type="dxa"/>
            <w:tcBorders>
              <w:end w:val="single" w:sz="8" w:space="0" w:color="000000"/>
            </w:tcBorders>
            <w:shd w:fill="FFFFFF" w:val="clear"/>
            <w:vAlign w:val="bottom"/>
          </w:tcPr>
          <w:p>
            <w:pPr>
              <w:pStyle w:val="Normal"/>
              <w:jc w:val="center"/>
              <w:rPr>
                <w:rFonts w:ascii="Times New Roman" w:hAnsi="Times New Roman" w:eastAsia="Arial Unicode MS" w:cs="Times New Roman"/>
              </w:rPr>
            </w:pPr>
            <w:r>
              <w:rPr>
                <w:rFonts w:cs="Times New Roman" w:ascii="Times New Roman" w:hAnsi="Times New Roman"/>
              </w:rPr>
              <w:t>0</w:t>
            </w:r>
          </w:p>
        </w:tc>
      </w:tr>
      <w:tr>
        <w:trPr>
          <w:trHeight w:val="255" w:hRule="atLeast"/>
        </w:trPr>
        <w:tc>
          <w:tcPr>
            <w:tcW w:w="1248" w:type="dxa"/>
            <w:tcBorders>
              <w:start w:val="single" w:sz="8" w:space="0" w:color="000000"/>
            </w:tcBorders>
            <w:shd w:fill="C0C0C0" w:val="clear"/>
          </w:tcPr>
          <w:p>
            <w:pPr>
              <w:pStyle w:val="Normal"/>
              <w:jc w:val="center"/>
              <w:rPr>
                <w:rFonts w:ascii="Times New Roman" w:hAnsi="Times New Roman" w:eastAsia="Arial Unicode MS" w:cs="Times New Roman"/>
                <w:b/>
              </w:rPr>
            </w:pPr>
            <w:r>
              <w:rPr>
                <w:rFonts w:cs="Times New Roman" w:ascii="Times New Roman" w:hAnsi="Times New Roman"/>
                <w:b/>
              </w:rPr>
              <w:t>Origination</w:t>
            </w:r>
          </w:p>
        </w:tc>
        <w:tc>
          <w:tcPr>
            <w:tcW w:w="1536" w:type="dxa"/>
            <w:tcBorders/>
            <w:shd w:fill="C0C0C0" w:val="clear"/>
          </w:tcPr>
          <w:p>
            <w:pPr>
              <w:pStyle w:val="Normal"/>
              <w:jc w:val="center"/>
              <w:rPr>
                <w:rFonts w:ascii="Times New Roman" w:hAnsi="Times New Roman" w:eastAsia="Arial Unicode MS" w:cs="Times New Roman"/>
                <w:b/>
              </w:rPr>
            </w:pPr>
            <w:r>
              <w:rPr>
                <w:rFonts w:cs="Times New Roman" w:ascii="Times New Roman" w:hAnsi="Times New Roman"/>
                <w:b/>
              </w:rPr>
              <w:t>Cross terms</w:t>
            </w:r>
          </w:p>
        </w:tc>
        <w:tc>
          <w:tcPr>
            <w:tcW w:w="976" w:type="dxa"/>
            <w:tcBorders/>
            <w:shd w:fill="C0C0C0" w:val="clear"/>
          </w:tcPr>
          <w:p>
            <w:pPr>
              <w:pStyle w:val="Normal"/>
              <w:jc w:val="center"/>
              <w:rPr>
                <w:rFonts w:ascii="Times New Roman" w:hAnsi="Times New Roman" w:eastAsia="Arial Unicode MS" w:cs="Times New Roman"/>
                <w:b/>
              </w:rPr>
            </w:pPr>
            <w:r>
              <w:rPr>
                <w:rFonts w:cs="Times New Roman" w:ascii="Times New Roman" w:hAnsi="Times New Roman"/>
                <w:b/>
              </w:rPr>
              <w:t>Rebooking</w:t>
            </w:r>
          </w:p>
        </w:tc>
        <w:tc>
          <w:tcPr>
            <w:tcW w:w="1376" w:type="dxa"/>
            <w:tcBorders/>
            <w:shd w:fill="C0C0C0" w:val="clear"/>
          </w:tcPr>
          <w:p>
            <w:pPr>
              <w:pStyle w:val="Normal"/>
              <w:jc w:val="center"/>
              <w:rPr>
                <w:rFonts w:ascii="Times New Roman" w:hAnsi="Times New Roman" w:eastAsia="Arial Unicode MS" w:cs="Times New Roman"/>
                <w:b/>
              </w:rPr>
            </w:pPr>
            <w:r>
              <w:rPr>
                <w:rFonts w:cs="Times New Roman" w:ascii="Times New Roman" w:hAnsi="Times New Roman"/>
                <w:b/>
              </w:rPr>
              <w:t>PPI inflation</w:t>
            </w:r>
          </w:p>
        </w:tc>
        <w:tc>
          <w:tcPr>
            <w:tcW w:w="1376" w:type="dxa"/>
            <w:tcBorders/>
            <w:shd w:fill="C0C0C0" w:val="clear"/>
          </w:tcPr>
          <w:p>
            <w:pPr>
              <w:pStyle w:val="Normal"/>
              <w:jc w:val="center"/>
              <w:rPr>
                <w:rFonts w:ascii="Times New Roman" w:hAnsi="Times New Roman" w:eastAsia="Arial Unicode MS" w:cs="Times New Roman"/>
                <w:b/>
              </w:rPr>
            </w:pPr>
            <w:r>
              <w:rPr>
                <w:rFonts w:cs="Times New Roman" w:ascii="Times New Roman" w:hAnsi="Times New Roman"/>
                <w:b/>
              </w:rPr>
              <w:t>Prudency</w:t>
            </w:r>
          </w:p>
        </w:tc>
        <w:tc>
          <w:tcPr>
            <w:tcW w:w="1368" w:type="dxa"/>
            <w:tcBorders>
              <w:end w:val="single" w:sz="8" w:space="0" w:color="000000"/>
            </w:tcBorders>
            <w:shd w:fill="C0C0C0" w:val="clear"/>
          </w:tcPr>
          <w:p>
            <w:pPr>
              <w:pStyle w:val="Normal"/>
              <w:jc w:val="center"/>
              <w:rPr>
                <w:rFonts w:ascii="Times New Roman" w:hAnsi="Times New Roman" w:eastAsia="Arial Unicode MS" w:cs="Times New Roman"/>
                <w:b/>
              </w:rPr>
            </w:pPr>
            <w:r>
              <w:rPr>
                <w:rFonts w:cs="Times New Roman" w:ascii="Times New Roman" w:hAnsi="Times New Roman"/>
                <w:b/>
              </w:rPr>
              <w:t>Brokerage</w:t>
            </w:r>
          </w:p>
        </w:tc>
      </w:tr>
      <w:tr>
        <w:trPr>
          <w:trHeight w:val="270" w:hRule="atLeast"/>
        </w:trPr>
        <w:tc>
          <w:tcPr>
            <w:tcW w:w="1248" w:type="dxa"/>
            <w:tcBorders>
              <w:start w:val="single" w:sz="8" w:space="0" w:color="000000"/>
              <w:bottom w:val="single" w:sz="8" w:space="0" w:color="000000"/>
            </w:tcBorders>
            <w:shd w:fill="FFFFFF" w:val="clear"/>
            <w:vAlign w:val="bottom"/>
          </w:tcPr>
          <w:p>
            <w:pPr>
              <w:pStyle w:val="Normal"/>
              <w:jc w:val="center"/>
              <w:rPr>
                <w:rFonts w:ascii="Times New Roman" w:hAnsi="Times New Roman" w:eastAsia="Arial Unicode MS" w:cs="Times New Roman"/>
              </w:rPr>
            </w:pPr>
            <w:r>
              <w:rPr>
                <w:rFonts w:cs="Times New Roman" w:ascii="Times New Roman" w:hAnsi="Times New Roman"/>
              </w:rPr>
              <w:t>1,886,218</w:t>
            </w:r>
          </w:p>
        </w:tc>
        <w:tc>
          <w:tcPr>
            <w:tcW w:w="1536" w:type="dxa"/>
            <w:tcBorders>
              <w:bottom w:val="single" w:sz="8" w:space="0" w:color="000000"/>
            </w:tcBorders>
            <w:shd w:fill="FFFFFF" w:val="clear"/>
            <w:vAlign w:val="bottom"/>
          </w:tcPr>
          <w:p>
            <w:pPr>
              <w:pStyle w:val="Normal"/>
              <w:jc w:val="center"/>
              <w:rPr>
                <w:rFonts w:ascii="Times New Roman" w:hAnsi="Times New Roman" w:eastAsia="Arial Unicode MS" w:cs="Times New Roman"/>
              </w:rPr>
            </w:pPr>
            <w:r>
              <w:rPr>
                <w:rFonts w:cs="Times New Roman" w:ascii="Times New Roman" w:hAnsi="Times New Roman"/>
                <w:color w:val="FF0000"/>
              </w:rPr>
              <w:t>(283,999)</w:t>
            </w:r>
          </w:p>
        </w:tc>
        <w:tc>
          <w:tcPr>
            <w:tcW w:w="976" w:type="dxa"/>
            <w:tcBorders>
              <w:bottom w:val="single" w:sz="8" w:space="0" w:color="000000"/>
            </w:tcBorders>
            <w:shd w:fill="FFFFFF" w:val="clear"/>
            <w:vAlign w:val="bottom"/>
          </w:tcPr>
          <w:p>
            <w:pPr>
              <w:pStyle w:val="Normal"/>
              <w:jc w:val="center"/>
              <w:rPr>
                <w:rFonts w:ascii="Times New Roman" w:hAnsi="Times New Roman" w:eastAsia="Arial Unicode MS" w:cs="Times New Roman"/>
              </w:rPr>
            </w:pPr>
            <w:r>
              <w:rPr>
                <w:rFonts w:cs="Times New Roman" w:ascii="Times New Roman" w:hAnsi="Times New Roman"/>
                <w:color w:val="FF0000"/>
              </w:rPr>
              <w:t>(179,835)</w:t>
            </w:r>
          </w:p>
        </w:tc>
        <w:tc>
          <w:tcPr>
            <w:tcW w:w="1376" w:type="dxa"/>
            <w:tcBorders>
              <w:bottom w:val="single" w:sz="8" w:space="0" w:color="000000"/>
            </w:tcBorders>
            <w:shd w:fill="FFFFFF" w:val="clear"/>
            <w:vAlign w:val="bottom"/>
          </w:tcPr>
          <w:p>
            <w:pPr>
              <w:pStyle w:val="Normal"/>
              <w:jc w:val="center"/>
              <w:rPr>
                <w:rFonts w:ascii="Times New Roman" w:hAnsi="Times New Roman" w:eastAsia="Arial Unicode MS" w:cs="Times New Roman"/>
              </w:rPr>
            </w:pPr>
            <w:r>
              <w:rPr>
                <w:rFonts w:cs="Times New Roman" w:ascii="Times New Roman" w:hAnsi="Times New Roman"/>
              </w:rPr>
              <w:t>223,983</w:t>
            </w:r>
          </w:p>
        </w:tc>
        <w:tc>
          <w:tcPr>
            <w:tcW w:w="1376" w:type="dxa"/>
            <w:tcBorders>
              <w:bottom w:val="single" w:sz="8" w:space="0" w:color="000000"/>
            </w:tcBorders>
            <w:shd w:fill="FFFFFF" w:val="clear"/>
            <w:vAlign w:val="bottom"/>
          </w:tcPr>
          <w:p>
            <w:pPr>
              <w:pStyle w:val="Normal"/>
              <w:jc w:val="center"/>
              <w:rPr>
                <w:rFonts w:ascii="Times New Roman" w:hAnsi="Times New Roman" w:eastAsia="Arial Unicode MS" w:cs="Times New Roman"/>
              </w:rPr>
            </w:pPr>
            <w:r>
              <w:rPr>
                <w:rFonts w:cs="Times New Roman" w:ascii="Times New Roman" w:hAnsi="Times New Roman"/>
              </w:rPr>
              <w:t>-</w:t>
            </w:r>
          </w:p>
        </w:tc>
        <w:tc>
          <w:tcPr>
            <w:tcW w:w="1368" w:type="dxa"/>
            <w:tcBorders>
              <w:bottom w:val="single" w:sz="8" w:space="0" w:color="000000"/>
              <w:end w:val="single" w:sz="8" w:space="0" w:color="000000"/>
            </w:tcBorders>
            <w:shd w:fill="FFFFFF" w:val="clear"/>
            <w:vAlign w:val="bottom"/>
          </w:tcPr>
          <w:p>
            <w:pPr>
              <w:pStyle w:val="Normal"/>
              <w:jc w:val="center"/>
              <w:rPr>
                <w:rFonts w:ascii="Times New Roman" w:hAnsi="Times New Roman" w:eastAsia="Arial Unicode MS" w:cs="Times New Roman"/>
              </w:rPr>
            </w:pPr>
            <w:r>
              <w:rPr>
                <w:rFonts w:cs="Times New Roman" w:ascii="Times New Roman" w:hAnsi="Times New Roman"/>
                <w:color w:val="FF0000"/>
              </w:rPr>
              <w:t>(930,759)</w:t>
            </w:r>
          </w:p>
        </w:tc>
      </w:tr>
    </w:tbl>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Further details can be found in the profit and loss commentary under section C.</w:t>
      </w:r>
    </w:p>
    <w:p>
      <w:pPr>
        <w:pStyle w:val="MessageHeader"/>
        <w:tabs>
          <w:tab w:val="clear" w:pos="720"/>
          <w:tab w:val="left" w:pos="0" w:leader="none"/>
        </w:tabs>
        <w:ind w:hanging="0" w:start="0" w:end="0"/>
        <w:rPr/>
      </w:pPr>
      <w:r>
        <w:rPr>
          <w:rFonts w:cs="Times New Roman" w:ascii="Times New Roman" w:hAnsi="Times New Roman"/>
        </w:rPr>
        <w:t xml:space="preserve">The </w:t>
      </w:r>
      <w:r>
        <w:rPr>
          <w:rFonts w:cs="Times New Roman" w:ascii="Times New Roman" w:hAnsi="Times New Roman"/>
          <w:b/>
        </w:rPr>
        <w:t xml:space="preserve">number of November trades </w:t>
      </w:r>
      <w:r>
        <w:rPr>
          <w:rFonts w:cs="Times New Roman" w:ascii="Times New Roman" w:hAnsi="Times New Roman"/>
        </w:rPr>
        <w:t>at</w:t>
      </w:r>
      <w:r>
        <w:rPr>
          <w:rFonts w:cs="Times New Roman" w:ascii="Times New Roman" w:hAnsi="Times New Roman"/>
          <w:b/>
        </w:rPr>
        <w:t xml:space="preserve"> 1,235</w:t>
      </w:r>
      <w:r>
        <w:rPr>
          <w:rFonts w:cs="Times New Roman" w:ascii="Times New Roman" w:hAnsi="Times New Roman"/>
        </w:rPr>
        <w:t xml:space="preserve"> </w:t>
      </w:r>
      <w:r>
        <w:rPr>
          <w:rFonts w:cs="Times New Roman" w:ascii="Times New Roman" w:hAnsi="Times New Roman"/>
          <w:b/>
        </w:rPr>
        <w:t xml:space="preserve"> </w:t>
      </w:r>
      <w:r>
        <w:rPr>
          <w:rFonts w:cs="Times New Roman" w:ascii="Times New Roman" w:hAnsi="Times New Roman"/>
        </w:rPr>
        <w:t>(October 787 trades)</w:t>
      </w:r>
      <w:r>
        <w:rPr>
          <w:rFonts w:cs="Times New Roman" w:ascii="Times New Roman" w:hAnsi="Times New Roman"/>
          <w:b/>
        </w:rPr>
        <w:t xml:space="preserve"> </w:t>
      </w:r>
      <w:r>
        <w:rPr>
          <w:rFonts w:cs="Times New Roman" w:ascii="Times New Roman" w:hAnsi="Times New Roman"/>
        </w:rPr>
        <w:t>was again the highest volume for the fourth month in succession. This continues to confirm the growth of liquidity in the prompt period months ahead of the implementation of NETA.</w:t>
      </w:r>
    </w:p>
    <w:p>
      <w:pPr>
        <w:pStyle w:val="MessageHeader"/>
        <w:tabs>
          <w:tab w:val="clear" w:pos="720"/>
          <w:tab w:val="left" w:pos="0" w:leader="none"/>
        </w:tabs>
        <w:ind w:hanging="0" w:start="0" w:end="0"/>
        <w:rPr/>
      </w:pPr>
      <w:r>
        <w:rPr>
          <w:rFonts w:cs="Times New Roman" w:ascii="Times New Roman" w:hAnsi="Times New Roman"/>
        </w:rPr>
        <w:t xml:space="preserve"> </w:t>
      </w:r>
      <w:r>
        <w:rPr>
          <w:rFonts w:cs="Times New Roman" w:ascii="Times New Roman" w:hAnsi="Times New Roman"/>
        </w:rPr>
        <w:t xml:space="preserve">The most actively traded was for the prompt months - </w:t>
      </w:r>
      <w:r>
        <w:rPr>
          <w:rFonts w:cs="Times New Roman" w:ascii="Times New Roman" w:hAnsi="Times New Roman"/>
          <w:b/>
        </w:rPr>
        <w:t>66% of trades were completed up to December 2000</w:t>
      </w:r>
      <w:r>
        <w:rPr>
          <w:rFonts w:cs="Times New Roman" w:ascii="Times New Roman" w:hAnsi="Times New Roman"/>
        </w:rPr>
        <w:t>. Winter 2000 reduced significantly as a traded period to 2% of trades done from 14% for September. The increase in promt trading and reduction post March 2001 is largely due to market concern over post NETA trading and the terms of the new Grid Trade Master Agreements and PPP replacement pricing. Some longer  term trades were still completed – 4 trades were entered into for Summer 2004 with Dynergy UK Limited, view is that these counterparties were entering into these to validate curve positions.</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The trades in the period are summarised below:</w:t>
      </w:r>
    </w:p>
    <w:p>
      <w:pPr>
        <w:pStyle w:val="MessageHeader"/>
        <w:tabs>
          <w:tab w:val="clear" w:pos="720"/>
          <w:tab w:val="left" w:pos="0" w:leader="none"/>
        </w:tabs>
        <w:ind w:hanging="0" w:start="0" w:end="0"/>
        <w:rPr>
          <w:rFonts w:ascii="Times New Roman" w:hAnsi="Times New Roman" w:cs="Times New Roman"/>
          <w:lang w:val="en-CA" w:eastAsia="en-CA"/>
        </w:rPr>
      </w:pPr>
      <w:r>
        <w:rPr>
          <w:rFonts w:cs="Times New Roman" w:ascii="Times New Roman" w:hAnsi="Times New Roman"/>
          <w:lang w:val="en-CA" w:eastAsia="en-CA"/>
        </w:rPr>
        <w:drawing>
          <wp:anchor behindDoc="0" distT="0" distB="0" distL="114935" distR="114935" simplePos="0" locked="0" layoutInCell="1" allowOverlap="1" relativeHeight="4">
            <wp:simplePos x="0" y="0"/>
            <wp:positionH relativeFrom="column">
              <wp:posOffset>0</wp:posOffset>
            </wp:positionH>
            <wp:positionV relativeFrom="paragraph">
              <wp:posOffset>46990</wp:posOffset>
            </wp:positionV>
            <wp:extent cx="5125085" cy="2591435"/>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6"/>
                    <a:srcRect l="-7" t="-14" r="-7" b="-14"/>
                    <a:stretch>
                      <a:fillRect/>
                    </a:stretch>
                  </pic:blipFill>
                  <pic:spPr bwMode="auto">
                    <a:xfrm>
                      <a:off x="0" y="0"/>
                      <a:ext cx="5125085" cy="2591435"/>
                    </a:xfrm>
                    <a:prstGeom prst="rect">
                      <a:avLst/>
                    </a:prstGeom>
                    <a:noFill/>
                  </pic:spPr>
                </pic:pic>
              </a:graphicData>
            </a:graphic>
          </wp:anchor>
        </w:drawing>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b/>
        </w:rPr>
      </w:pPr>
      <w:r>
        <w:rPr>
          <w:rFonts w:cs="Times New Roman" w:ascii="Times New Roman" w:hAnsi="Times New Roman"/>
        </w:rPr>
        <w:t>No trades were completed with the UKPX in the review period. The cash held on exchange was £246,733 an increase of £8,929 from October 2000.</w:t>
      </w:r>
    </w:p>
    <w:p>
      <w:pPr>
        <w:pStyle w:val="MessageHeader"/>
        <w:tabs>
          <w:tab w:val="clear" w:pos="720"/>
          <w:tab w:val="left" w:pos="0" w:leader="none"/>
        </w:tabs>
        <w:ind w:hanging="0" w:start="0" w:end="0"/>
        <w:rPr>
          <w:rFonts w:ascii="Times New Roman" w:hAnsi="Times New Roman" w:cs="Times New Roman"/>
          <w:b/>
        </w:rPr>
      </w:pPr>
      <w:r>
        <w:rPr>
          <w:rFonts w:cs="Times New Roman" w:ascii="Times New Roman" w:hAnsi="Times New Roman"/>
          <w:b/>
        </w:rPr>
      </w:r>
    </w:p>
    <w:p>
      <w:pPr>
        <w:pStyle w:val="MessageHeader"/>
        <w:tabs>
          <w:tab w:val="clear" w:pos="720"/>
          <w:tab w:val="left" w:pos="0" w:leader="none"/>
        </w:tabs>
        <w:ind w:hanging="0" w:start="0" w:end="0"/>
        <w:rPr>
          <w:rFonts w:ascii="Times New Roman" w:hAnsi="Times New Roman" w:cs="Times New Roman"/>
          <w:b/>
        </w:rPr>
      </w:pPr>
      <w:r>
        <w:rPr>
          <w:rFonts w:cs="Times New Roman" w:ascii="Times New Roman" w:hAnsi="Times New Roman"/>
          <w:b/>
        </w:rPr>
      </w:r>
    </w:p>
    <w:p>
      <w:pPr>
        <w:pStyle w:val="MessageHeader"/>
        <w:tabs>
          <w:tab w:val="clear" w:pos="720"/>
          <w:tab w:val="left" w:pos="0" w:leader="none"/>
        </w:tabs>
        <w:ind w:hanging="0" w:start="0" w:end="0"/>
        <w:rPr>
          <w:rFonts w:ascii="Times New Roman" w:hAnsi="Times New Roman" w:cs="Times New Roman"/>
          <w:b/>
        </w:rPr>
      </w:pPr>
      <w:r>
        <w:rPr>
          <w:rFonts w:cs="Times New Roman" w:ascii="Times New Roman" w:hAnsi="Times New Roman"/>
          <w:b/>
        </w:rPr>
      </w:r>
    </w:p>
    <w:p>
      <w:pPr>
        <w:pStyle w:val="MessageHeader"/>
        <w:tabs>
          <w:tab w:val="clear" w:pos="720"/>
          <w:tab w:val="left" w:pos="0" w:leader="none"/>
        </w:tabs>
        <w:ind w:hanging="0" w:start="0" w:end="0"/>
        <w:rPr>
          <w:rFonts w:ascii="Times New Roman" w:hAnsi="Times New Roman" w:cs="Times New Roman"/>
          <w:b/>
        </w:rPr>
      </w:pPr>
      <w:r>
        <w:rPr>
          <w:rFonts w:cs="Times New Roman" w:ascii="Times New Roman" w:hAnsi="Times New Roman"/>
          <w:b/>
        </w:rPr>
      </w:r>
    </w:p>
    <w:p>
      <w:pPr>
        <w:pStyle w:val="MessageHeader"/>
        <w:tabs>
          <w:tab w:val="clear" w:pos="720"/>
          <w:tab w:val="left" w:pos="0" w:leader="none"/>
        </w:tabs>
        <w:ind w:hanging="0" w:start="0" w:end="0"/>
        <w:rPr/>
      </w:pPr>
      <w:r>
        <w:rPr>
          <w:rFonts w:cs="Times New Roman" w:ascii="Times New Roman" w:hAnsi="Times New Roman"/>
          <w:b/>
        </w:rPr>
        <w:t>During November 329 trades were completed on Enron Online (EOL)</w:t>
      </w:r>
      <w:r>
        <w:rPr>
          <w:rFonts w:cs="Times New Roman" w:ascii="Times New Roman" w:hAnsi="Times New Roman"/>
        </w:rPr>
        <w:t xml:space="preserve">  (164 during October) – 29% of total deals (October 23%). </w:t>
      </w:r>
      <w:r>
        <w:rPr>
          <w:rFonts w:cs="Times New Roman" w:ascii="Times New Roman" w:hAnsi="Times New Roman"/>
          <w:b/>
        </w:rPr>
        <w:t>Entergy</w:t>
      </w:r>
      <w:r>
        <w:rPr>
          <w:rFonts w:cs="Times New Roman" w:ascii="Times New Roman" w:hAnsi="Times New Roman"/>
        </w:rPr>
        <w:t xml:space="preserve"> were still the counter party </w:t>
      </w:r>
      <w:r>
        <w:rPr>
          <w:rFonts w:cs="Times New Roman" w:ascii="Times New Roman" w:hAnsi="Times New Roman"/>
          <w:b/>
        </w:rPr>
        <w:t>most frequently traded</w:t>
      </w:r>
      <w:r>
        <w:rPr>
          <w:rFonts w:cs="Times New Roman" w:ascii="Times New Roman" w:hAnsi="Times New Roman"/>
        </w:rPr>
        <w:t xml:space="preserve"> with </w:t>
      </w:r>
      <w:r>
        <w:rPr>
          <w:rFonts w:cs="Times New Roman" w:ascii="Times New Roman" w:hAnsi="Times New Roman"/>
          <w:b/>
        </w:rPr>
        <w:t xml:space="preserve">98 trades in the period </w:t>
      </w:r>
      <w:r>
        <w:rPr>
          <w:rFonts w:cs="Times New Roman" w:ascii="Times New Roman" w:hAnsi="Times New Roman"/>
        </w:rPr>
        <w:t>(56 trades in October).</w:t>
      </w:r>
    </w:p>
    <w:p>
      <w:pPr>
        <w:pStyle w:val="MessageHeader"/>
        <w:tabs>
          <w:tab w:val="clear" w:pos="720"/>
          <w:tab w:val="left" w:pos="0" w:leader="none"/>
        </w:tabs>
        <w:ind w:hanging="0" w:start="0" w:end="0"/>
        <w:rPr/>
      </w:pPr>
      <w:r>
        <w:rPr>
          <w:rFonts w:cs="Times New Roman" w:ascii="Times New Roman" w:hAnsi="Times New Roman"/>
        </w:rPr>
        <w:t xml:space="preserve">The </w:t>
      </w:r>
      <w:r>
        <w:rPr>
          <w:rFonts w:cs="Times New Roman" w:ascii="Times New Roman" w:hAnsi="Times New Roman"/>
          <w:b/>
        </w:rPr>
        <w:t>value</w:t>
      </w:r>
      <w:r>
        <w:rPr>
          <w:rFonts w:cs="Times New Roman" w:ascii="Times New Roman" w:hAnsi="Times New Roman"/>
        </w:rPr>
        <w:t xml:space="preserve"> of the trades for EOL at 30th November was £</w:t>
      </w:r>
      <w:r>
        <w:rPr>
          <w:rFonts w:cs="Times New Roman" w:ascii="Times New Roman" w:hAnsi="Times New Roman"/>
          <w:b/>
        </w:rPr>
        <w:t>(37.5)m</w:t>
      </w:r>
      <w:r>
        <w:rPr>
          <w:rFonts w:cs="Times New Roman" w:ascii="Times New Roman" w:hAnsi="Times New Roman"/>
        </w:rPr>
        <w:t xml:space="preserve">, (October  £(41.8)m) -  </w:t>
      </w:r>
      <w:r>
        <w:rPr>
          <w:rFonts w:cs="Times New Roman" w:ascii="Times New Roman" w:hAnsi="Times New Roman"/>
          <w:b/>
        </w:rPr>
        <w:t>during November</w:t>
      </w:r>
      <w:r>
        <w:rPr>
          <w:rFonts w:cs="Times New Roman" w:ascii="Times New Roman" w:hAnsi="Times New Roman"/>
        </w:rPr>
        <w:t xml:space="preserve">  Enron has taken </w:t>
      </w:r>
      <w:r>
        <w:rPr>
          <w:rFonts w:cs="Times New Roman" w:ascii="Times New Roman" w:hAnsi="Times New Roman"/>
          <w:b/>
        </w:rPr>
        <w:t xml:space="preserve">a short  position </w:t>
      </w:r>
      <w:r>
        <w:rPr>
          <w:rFonts w:cs="Times New Roman" w:ascii="Times New Roman" w:hAnsi="Times New Roman"/>
        </w:rPr>
        <w:t xml:space="preserve"> of approximately </w:t>
      </w:r>
      <w:r>
        <w:rPr>
          <w:rFonts w:cs="Times New Roman" w:ascii="Times New Roman" w:hAnsi="Times New Roman"/>
          <w:b/>
        </w:rPr>
        <w:t xml:space="preserve"> 0.6TWh</w:t>
      </w:r>
      <w:r>
        <w:rPr>
          <w:rFonts w:cs="Times New Roman" w:ascii="Times New Roman" w:hAnsi="Times New Roman"/>
        </w:rPr>
        <w:t xml:space="preserve"> on line. (October short position of 1.6 TWh)</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The EOL portfolio split  for the month are summarised below:</w:t>
      </w:r>
    </w:p>
    <w:p>
      <w:pPr>
        <w:pStyle w:val="MessageHeader"/>
        <w:tabs>
          <w:tab w:val="clear" w:pos="720"/>
          <w:tab w:val="left" w:pos="0" w:leader="none"/>
        </w:tabs>
        <w:ind w:hanging="0" w:start="0" w:end="0"/>
        <w:rPr>
          <w:rFonts w:ascii="Times New Roman" w:hAnsi="Times New Roman" w:cs="Times New Roman"/>
          <w:lang w:val="en-CA" w:eastAsia="en-CA"/>
        </w:rPr>
      </w:pPr>
      <w:r>
        <w:rPr>
          <w:rFonts w:cs="Times New Roman" w:ascii="Times New Roman" w:hAnsi="Times New Roman"/>
          <w:lang w:val="en-CA" w:eastAsia="en-CA"/>
        </w:rPr>
        <w:drawing>
          <wp:anchor behindDoc="0" distT="0" distB="0" distL="114935" distR="114935" simplePos="0" locked="0" layoutInCell="1" allowOverlap="1" relativeHeight="5">
            <wp:simplePos x="0" y="0"/>
            <wp:positionH relativeFrom="column">
              <wp:posOffset>0</wp:posOffset>
            </wp:positionH>
            <wp:positionV relativeFrom="paragraph">
              <wp:posOffset>107950</wp:posOffset>
            </wp:positionV>
            <wp:extent cx="5277485" cy="2648585"/>
            <wp:effectExtent l="0" t="0" r="0" b="0"/>
            <wp:wrapNone/>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7"/>
                    <a:srcRect l="-7" t="-14" r="-7" b="-14"/>
                    <a:stretch>
                      <a:fillRect/>
                    </a:stretch>
                  </pic:blipFill>
                  <pic:spPr bwMode="auto">
                    <a:xfrm>
                      <a:off x="0" y="0"/>
                      <a:ext cx="5277485" cy="2648585"/>
                    </a:xfrm>
                    <a:prstGeom prst="rect">
                      <a:avLst/>
                    </a:prstGeom>
                    <a:noFill/>
                  </pic:spPr>
                </pic:pic>
              </a:graphicData>
            </a:graphic>
          </wp:anchor>
        </w:drawing>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b/>
        </w:rPr>
      </w:pPr>
      <w:r>
        <w:rPr>
          <w:rFonts w:cs="Times New Roman" w:ascii="Times New Roman" w:hAnsi="Times New Roman"/>
          <w:b/>
        </w:rPr>
      </w:r>
    </w:p>
    <w:p>
      <w:pPr>
        <w:pStyle w:val="MessageHeader"/>
        <w:tabs>
          <w:tab w:val="clear" w:pos="720"/>
          <w:tab w:val="left" w:pos="0" w:leader="none"/>
        </w:tabs>
        <w:ind w:hanging="0" w:start="0" w:end="0"/>
        <w:rPr>
          <w:rFonts w:ascii="Times New Roman" w:hAnsi="Times New Roman" w:cs="Times New Roman"/>
          <w:b/>
        </w:rPr>
      </w:pPr>
      <w:r>
        <w:rPr>
          <w:rFonts w:cs="Times New Roman" w:ascii="Times New Roman" w:hAnsi="Times New Roman"/>
          <w:b/>
        </w:rPr>
      </w:r>
    </w:p>
    <w:p>
      <w:pPr>
        <w:pStyle w:val="MessageHeader"/>
        <w:tabs>
          <w:tab w:val="clear" w:pos="720"/>
          <w:tab w:val="left" w:pos="0" w:leader="none"/>
        </w:tabs>
        <w:ind w:hanging="0" w:start="0" w:end="0"/>
        <w:rPr/>
      </w:pPr>
      <w:r>
        <w:rPr>
          <w:rFonts w:cs="Times New Roman" w:ascii="Times New Roman" w:hAnsi="Times New Roman"/>
          <w:b/>
        </w:rPr>
        <w:t xml:space="preserve">NETA – </w:t>
      </w:r>
      <w:r>
        <w:rPr>
          <w:rFonts w:cs="Times New Roman" w:ascii="Times New Roman" w:hAnsi="Times New Roman"/>
        </w:rPr>
        <w:t>During the month Participation Integration Testing (PIT’s) were commenced, with a deadline for completion of 22</w:t>
      </w:r>
      <w:r>
        <w:rPr>
          <w:rFonts w:cs="Times New Roman" w:ascii="Times New Roman" w:hAnsi="Times New Roman"/>
          <w:vertAlign w:val="superscript"/>
        </w:rPr>
        <w:t>nd</w:t>
      </w:r>
      <w:r>
        <w:rPr>
          <w:rFonts w:cs="Times New Roman" w:ascii="Times New Roman" w:hAnsi="Times New Roman"/>
        </w:rPr>
        <w:t xml:space="preserve"> December. Uncertainty still reigns over the exact nature of forward contracts in the post NETA world, as the proposed Grid Trade Master forward Contract price will be closer to a NBP contract in the UK gas market. The conversion of current PPP contracts to GTMA prices is causing concern as the pricing of transmission and balancing would expose parties to regulatory risk. One solution being discussed is treating these costs as a pass through similar to VAT.  This uncertainty has severely hampered trading in recent weeks.</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t>B - Curve Validation</w:t>
      </w:r>
    </w:p>
    <w:p>
      <w:pPr>
        <w:pStyle w:val="MessageHeader"/>
        <w:tabs>
          <w:tab w:val="clear" w:pos="720"/>
          <w:tab w:val="left" w:pos="0" w:leader="none"/>
        </w:tabs>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720" w:start="720"/>
        <w:outlineLvl w:val="0"/>
        <w:rPr>
          <w:rFonts w:ascii="Times New Roman" w:hAnsi="Times New Roman" w:cs="Times New Roman"/>
          <w:b/>
          <w:highlight w:val="green"/>
          <w:u w:val="single"/>
        </w:rPr>
      </w:pPr>
      <w:r>
        <w:rPr>
          <w:rFonts w:cs="Times New Roman" w:ascii="Times New Roman" w:hAnsi="Times New Roman"/>
          <w:b/>
          <w:u w:val="single"/>
        </w:rPr>
        <w:t>1.  Methodology</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 xml:space="preserve">The curves have been reviewed using the following criteria, and have been split in the same way as in the UK Power Market Forward Curves Document (September  2000). </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ab/>
        <w:t xml:space="preserve">Broker Quote Variance  </w:t>
        <w:tab/>
        <w:tab/>
        <w:tab/>
        <w:t>Front End</w:t>
      </w:r>
    </w:p>
    <w:p>
      <w:pPr>
        <w:pStyle w:val="MessageHeader"/>
        <w:numPr>
          <w:ilvl w:val="0"/>
          <w:numId w:val="5"/>
        </w:numPr>
        <w:tabs>
          <w:tab w:val="clear" w:pos="720"/>
          <w:tab w:val="left" w:pos="0" w:leader="none"/>
        </w:tabs>
        <w:rPr>
          <w:rFonts w:ascii="Times New Roman" w:hAnsi="Times New Roman" w:cs="Times New Roman"/>
        </w:rPr>
      </w:pPr>
      <w:r>
        <w:rPr>
          <w:rFonts w:cs="Times New Roman" w:ascii="Times New Roman" w:hAnsi="Times New Roman"/>
        </w:rPr>
        <w:t xml:space="preserve">Historical Trades  / Press reports </w:t>
        <w:tab/>
        <w:tab/>
        <w:t>Middle</w:t>
      </w:r>
    </w:p>
    <w:p>
      <w:pPr>
        <w:pStyle w:val="MessageHeader"/>
        <w:numPr>
          <w:ilvl w:val="0"/>
          <w:numId w:val="5"/>
        </w:numPr>
        <w:tabs>
          <w:tab w:val="clear" w:pos="720"/>
          <w:tab w:val="left" w:pos="0" w:leader="none"/>
        </w:tabs>
        <w:rPr>
          <w:rFonts w:ascii="Times New Roman" w:hAnsi="Times New Roman" w:cs="Times New Roman"/>
        </w:rPr>
      </w:pPr>
      <w:r>
        <w:rPr>
          <w:rFonts w:cs="Times New Roman" w:ascii="Times New Roman" w:hAnsi="Times New Roman"/>
        </w:rPr>
        <w:t xml:space="preserve">Curve Construction   </w:t>
        <w:tab/>
        <w:tab/>
        <w:tab/>
        <w:t>Back End</w:t>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t>2.   Review – Power Delta</w:t>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rPr>
      </w:pPr>
      <w:r>
        <w:rPr>
          <w:rFonts w:cs="Times New Roman" w:ascii="Times New Roman" w:hAnsi="Times New Roman"/>
        </w:rPr>
        <w:t>The changes in the curve for the month is reflected  below:</w:t>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lang w:val="en-CA" w:eastAsia="en-CA"/>
        </w:rPr>
      </w:pPr>
      <w:r>
        <w:rPr>
          <w:rFonts w:cs="Times New Roman" w:ascii="Times New Roman" w:hAnsi="Times New Roman"/>
          <w:b/>
          <w:u w:val="single"/>
          <w:lang w:val="en-CA" w:eastAsia="en-CA"/>
        </w:rPr>
        <w:drawing>
          <wp:anchor behindDoc="0" distT="0" distB="0" distL="114935" distR="114935" simplePos="0" locked="0" layoutInCell="1" allowOverlap="1" relativeHeight="6">
            <wp:simplePos x="0" y="0"/>
            <wp:positionH relativeFrom="column">
              <wp:posOffset>91440</wp:posOffset>
            </wp:positionH>
            <wp:positionV relativeFrom="paragraph">
              <wp:posOffset>184150</wp:posOffset>
            </wp:positionV>
            <wp:extent cx="7223760" cy="3264535"/>
            <wp:effectExtent l="0" t="0" r="0" b="0"/>
            <wp:wrapNone/>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8"/>
                    <a:srcRect l="-6" t="-14" r="-6" b="-14"/>
                    <a:stretch>
                      <a:fillRect/>
                    </a:stretch>
                  </pic:blipFill>
                  <pic:spPr bwMode="auto">
                    <a:xfrm>
                      <a:off x="0" y="0"/>
                      <a:ext cx="7223760" cy="3264535"/>
                    </a:xfrm>
                    <a:prstGeom prst="rect">
                      <a:avLst/>
                    </a:prstGeom>
                    <a:noFill/>
                  </pic:spPr>
                </pic:pic>
              </a:graphicData>
            </a:graphic>
          </wp:anchor>
        </w:drawing>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rPr>
      </w:pPr>
      <w:r>
        <w:rPr>
          <w:rFonts w:cs="Times New Roman" w:ascii="Times New Roman" w:hAnsi="Times New Roman"/>
        </w:rPr>
      </w:r>
    </w:p>
    <w:p>
      <w:pPr>
        <w:pStyle w:val="MessageHeader"/>
        <w:numPr>
          <w:ilvl w:val="0"/>
          <w:numId w:val="0"/>
        </w:numPr>
        <w:tabs>
          <w:tab w:val="clear" w:pos="720"/>
          <w:tab w:val="left" w:pos="0" w:leader="none"/>
        </w:tabs>
        <w:ind w:hanging="0" w:start="0" w:end="0"/>
        <w:outlineLvl w:val="0"/>
        <w:rPr>
          <w:rFonts w:ascii="Times New Roman" w:hAnsi="Times New Roman" w:cs="Times New Roman"/>
        </w:rPr>
      </w:pPr>
      <w:r>
        <w:rPr>
          <w:rFonts w:cs="Times New Roman" w:ascii="Times New Roman" w:hAnsi="Times New Roman"/>
        </w:rPr>
      </w:r>
    </w:p>
    <w:p>
      <w:pPr>
        <w:pStyle w:val="MessageHeader"/>
        <w:numPr>
          <w:ilvl w:val="0"/>
          <w:numId w:val="0"/>
        </w:numPr>
        <w:tabs>
          <w:tab w:val="clear" w:pos="720"/>
          <w:tab w:val="left" w:pos="0" w:leader="none"/>
        </w:tabs>
        <w:ind w:hanging="0" w:start="0" w:end="0"/>
        <w:outlineLvl w:val="0"/>
        <w:rPr>
          <w:rFonts w:ascii="Times New Roman" w:hAnsi="Times New Roman" w:cs="Times New Roman"/>
        </w:rPr>
      </w:pPr>
      <w:r>
        <w:rPr>
          <w:rFonts w:cs="Times New Roman" w:ascii="Times New Roman" w:hAnsi="Times New Roman"/>
        </w:rPr>
      </w:r>
    </w:p>
    <w:p>
      <w:pPr>
        <w:pStyle w:val="MessageHeader"/>
        <w:numPr>
          <w:ilvl w:val="0"/>
          <w:numId w:val="0"/>
        </w:numPr>
        <w:tabs>
          <w:tab w:val="clear" w:pos="720"/>
          <w:tab w:val="left" w:pos="0" w:leader="none"/>
        </w:tabs>
        <w:ind w:hanging="0" w:start="0" w:end="0"/>
        <w:outlineLvl w:val="0"/>
        <w:rPr>
          <w:rFonts w:ascii="Times New Roman" w:hAnsi="Times New Roman" w:cs="Times New Roman"/>
        </w:rPr>
      </w:pPr>
      <w:r>
        <w:rPr>
          <w:rFonts w:cs="Times New Roman" w:ascii="Times New Roman" w:hAnsi="Times New Roman"/>
        </w:rPr>
      </w:r>
    </w:p>
    <w:p>
      <w:pPr>
        <w:pStyle w:val="MessageHeader"/>
        <w:numPr>
          <w:ilvl w:val="0"/>
          <w:numId w:val="0"/>
        </w:numPr>
        <w:tabs>
          <w:tab w:val="clear" w:pos="720"/>
          <w:tab w:val="left" w:pos="0" w:leader="none"/>
        </w:tabs>
        <w:ind w:hanging="0" w:start="0" w:end="0"/>
        <w:outlineLvl w:val="0"/>
        <w:rPr>
          <w:rFonts w:ascii="Times New Roman" w:hAnsi="Times New Roman" w:cs="Times New Roman"/>
        </w:rPr>
      </w:pPr>
      <w:r>
        <w:rPr>
          <w:rFonts w:cs="Times New Roman" w:ascii="Times New Roman" w:hAnsi="Times New Roman"/>
        </w:rPr>
      </w:r>
    </w:p>
    <w:p>
      <w:pPr>
        <w:pStyle w:val="MessageHeader"/>
        <w:numPr>
          <w:ilvl w:val="0"/>
          <w:numId w:val="0"/>
        </w:numPr>
        <w:tabs>
          <w:tab w:val="clear" w:pos="720"/>
          <w:tab w:val="left" w:pos="0" w:leader="none"/>
        </w:tabs>
        <w:ind w:hanging="0" w:start="0" w:end="0"/>
        <w:outlineLvl w:val="0"/>
        <w:rPr>
          <w:rFonts w:ascii="Times New Roman" w:hAnsi="Times New Roman" w:cs="Times New Roman"/>
        </w:rPr>
      </w:pPr>
      <w:r>
        <w:rPr>
          <w:rFonts w:cs="Times New Roman" w:ascii="Times New Roman" w:hAnsi="Times New Roman"/>
        </w:rPr>
      </w:r>
    </w:p>
    <w:p>
      <w:pPr>
        <w:pStyle w:val="MessageHeader"/>
        <w:numPr>
          <w:ilvl w:val="0"/>
          <w:numId w:val="0"/>
        </w:numPr>
        <w:tabs>
          <w:tab w:val="clear" w:pos="720"/>
          <w:tab w:val="left" w:pos="0" w:leader="none"/>
        </w:tabs>
        <w:ind w:hanging="0" w:start="0" w:end="0"/>
        <w:outlineLvl w:val="0"/>
        <w:rPr>
          <w:rFonts w:ascii="Times New Roman" w:hAnsi="Times New Roman" w:cs="Times New Roman"/>
        </w:rPr>
      </w:pPr>
      <w:r>
        <w:rPr>
          <w:rFonts w:cs="Times New Roman" w:ascii="Times New Roman" w:hAnsi="Times New Roman"/>
        </w:rPr>
      </w:r>
    </w:p>
    <w:p>
      <w:pPr>
        <w:pStyle w:val="MessageHeader"/>
        <w:numPr>
          <w:ilvl w:val="0"/>
          <w:numId w:val="0"/>
        </w:numPr>
        <w:tabs>
          <w:tab w:val="clear" w:pos="720"/>
          <w:tab w:val="left" w:pos="0" w:leader="none"/>
        </w:tabs>
        <w:ind w:hanging="0" w:start="0" w:end="0"/>
        <w:outlineLvl w:val="0"/>
        <w:rPr>
          <w:rFonts w:ascii="Times New Roman" w:hAnsi="Times New Roman" w:cs="Times New Roman"/>
        </w:rPr>
      </w:pPr>
      <w:r>
        <w:rPr>
          <w:rFonts w:cs="Times New Roman" w:ascii="Times New Roman" w:hAnsi="Times New Roman"/>
        </w:rPr>
      </w:r>
    </w:p>
    <w:p>
      <w:pPr>
        <w:pStyle w:val="MessageHeader"/>
        <w:numPr>
          <w:ilvl w:val="0"/>
          <w:numId w:val="0"/>
        </w:numPr>
        <w:tabs>
          <w:tab w:val="clear" w:pos="720"/>
          <w:tab w:val="left" w:pos="0" w:leader="none"/>
        </w:tabs>
        <w:ind w:hanging="0" w:start="0" w:end="0"/>
        <w:outlineLvl w:val="0"/>
        <w:rPr>
          <w:rFonts w:ascii="Times New Roman" w:hAnsi="Times New Roman" w:cs="Times New Roman"/>
        </w:rPr>
      </w:pPr>
      <w:r>
        <w:rPr>
          <w:rFonts w:cs="Times New Roman" w:ascii="Times New Roman" w:hAnsi="Times New Roman"/>
        </w:rPr>
      </w:r>
    </w:p>
    <w:p>
      <w:pPr>
        <w:pStyle w:val="MessageHeader"/>
        <w:numPr>
          <w:ilvl w:val="0"/>
          <w:numId w:val="0"/>
        </w:numPr>
        <w:tabs>
          <w:tab w:val="clear" w:pos="720"/>
          <w:tab w:val="left" w:pos="0" w:leader="none"/>
        </w:tabs>
        <w:ind w:hanging="0" w:start="0" w:end="0"/>
        <w:outlineLvl w:val="0"/>
        <w:rPr>
          <w:rFonts w:ascii="Times New Roman" w:hAnsi="Times New Roman" w:cs="Times New Roman"/>
        </w:rPr>
      </w:pPr>
      <w:r>
        <w:rPr>
          <w:rFonts w:cs="Times New Roman" w:ascii="Times New Roman" w:hAnsi="Times New Roman"/>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t>2.1  Broker Quotes</w:t>
        <w:tab/>
        <w:tab/>
        <w:t xml:space="preserve"> </w:t>
        <w:tab/>
        <w:tab/>
        <w:t>Front End (January 2001  –  October 2003)</w:t>
      </w:r>
    </w:p>
    <w:p>
      <w:pPr>
        <w:pStyle w:val="MessageHeader"/>
        <w:numPr>
          <w:ilvl w:val="0"/>
          <w:numId w:val="0"/>
        </w:numPr>
        <w:tabs>
          <w:tab w:val="clear" w:pos="720"/>
          <w:tab w:val="left" w:pos="0" w:leader="none"/>
        </w:tabs>
        <w:ind w:hanging="0" w:start="0" w:end="0"/>
        <w:outlineLvl w:val="0"/>
        <w:rPr/>
      </w:pPr>
      <w:r>
        <w:rPr>
          <w:rFonts w:cs="Times New Roman" w:ascii="Times New Roman" w:hAnsi="Times New Roman"/>
        </w:rPr>
        <w:t>Broker prices that were available for different load shapes and time periods were compared with the curve as at 30th</w:t>
      </w:r>
      <w:r>
        <w:rPr>
          <w:rFonts w:cs="Times New Roman" w:ascii="Times New Roman" w:hAnsi="Times New Roman"/>
          <w:vertAlign w:val="superscript"/>
        </w:rPr>
        <w:t xml:space="preserve">   </w:t>
      </w:r>
      <w:r>
        <w:rPr>
          <w:rFonts w:cs="Times New Roman" w:ascii="Times New Roman" w:hAnsi="Times New Roman"/>
        </w:rPr>
        <w:t xml:space="preserve">November 2000.The total implied </w:t>
      </w:r>
      <w:r>
        <w:rPr>
          <w:rFonts w:cs="Times New Roman" w:ascii="Times New Roman" w:hAnsi="Times New Roman"/>
          <w:b/>
        </w:rPr>
        <w:t xml:space="preserve">overstatement of profits was estimated to be £137k </w:t>
      </w:r>
      <w:r>
        <w:rPr>
          <w:rFonts w:cs="Times New Roman" w:ascii="Times New Roman" w:hAnsi="Times New Roman"/>
        </w:rPr>
        <w:t>(October £85k understated) which was considered immaterial.</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The market curve for Winter 2000 and Summer 2001 are 2p below the broker quotes, giving an estimated understatement of £33k and overstatement of £31k respectively. Winter 2002 was 7p above the broker quotes, giving an over statement of £88k. Other variances, totalling £51k overstated was immaterial.</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 xml:space="preserve">This method of validation is only relevant for the period for which quotes were available.  Therefore, this method only verifies the curve for the first 18 months.  </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 xml:space="preserve">The analysis of the broker quotes for the front end of the curve over the quarter has shown that the traders curves have been consistent. The large movements in the market have been evidenced via the broker quotes, and matched daily to the Enron curves. </w:t>
      </w:r>
    </w:p>
    <w:p>
      <w:pPr>
        <w:pStyle w:val="MessageHeader"/>
        <w:tabs>
          <w:tab w:val="clear" w:pos="720"/>
          <w:tab w:val="left" w:pos="0" w:leader="none"/>
        </w:tabs>
        <w:ind w:hanging="0" w:start="0" w:end="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rPr>
      </w:pPr>
      <w:r>
        <w:rPr>
          <w:rFonts w:cs="Times New Roman" w:ascii="Times New Roman" w:hAnsi="Times New Roman"/>
          <w:b/>
          <w:u w:val="single"/>
        </w:rPr>
        <w:t xml:space="preserve">2.2  Historical Trades  </w:t>
        <w:tab/>
        <w:tab/>
        <w:tab/>
        <w:t>Middle ( 2003 – 2010)</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During the period the middle curve was reviewed out to 2010, in view of out turn prices for the liquid part of the curve. Four  trades were completed in the period with Dynery UK Limited and Innogy plc. The low origination on these trades indicated that the curve was correctly marked.</w:t>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t xml:space="preserve">2.3  Curve Construction  </w:t>
        <w:tab/>
        <w:tab/>
        <w:tab/>
        <w:t>Back End (2010-2025)</w:t>
      </w:r>
    </w:p>
    <w:p>
      <w:pPr>
        <w:pStyle w:val="MessageHeader"/>
        <w:tabs>
          <w:tab w:val="clear" w:pos="720"/>
          <w:tab w:val="left" w:pos="0" w:leader="none"/>
        </w:tabs>
        <w:ind w:hanging="0" w:start="0" w:end="0"/>
        <w:rPr/>
      </w:pPr>
      <w:r>
        <w:rPr>
          <w:rFonts w:cs="Times New Roman" w:ascii="Times New Roman" w:hAnsi="Times New Roman"/>
          <w:b/>
        </w:rPr>
        <w:t>The</w:t>
      </w:r>
      <w:r>
        <w:rPr>
          <w:rFonts w:cs="Times New Roman" w:ascii="Times New Roman" w:hAnsi="Times New Roman"/>
        </w:rPr>
        <w:t xml:space="preserve"> </w:t>
      </w:r>
      <w:r>
        <w:rPr>
          <w:rFonts w:cs="Times New Roman" w:ascii="Times New Roman" w:hAnsi="Times New Roman"/>
          <w:b/>
        </w:rPr>
        <w:t>back end of the curve did not move during November</w:t>
      </w:r>
      <w:r>
        <w:rPr>
          <w:rFonts w:cs="Times New Roman" w:ascii="Times New Roman" w:hAnsi="Times New Roman"/>
        </w:rPr>
        <w:t xml:space="preserve">. </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 xml:space="preserve">Over the long term the curve is partitioned  by considering the long-term cost of producing electricity.  Using the Gas Forward curve and the latest economics for a 1200MW plant and using Enron’s forecast market heat rate curve it is possible to create a forward cost of power from the latest CCGT i.e. the most efficient plant available. </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In recent periods there has been a large increase in the price of gas with the implied increase per Mwh in the cost of gas for the period 2010 to 2025 to 275 pence.</w:t>
      </w:r>
    </w:p>
    <w:p>
      <w:pPr>
        <w:pStyle w:val="MessageHeader"/>
        <w:tabs>
          <w:tab w:val="clear" w:pos="720"/>
          <w:tab w:val="left" w:pos="0" w:leader="none"/>
        </w:tabs>
        <w:ind w:hanging="0" w:start="0" w:end="0"/>
        <w:rPr/>
      </w:pPr>
      <w:r>
        <w:rPr>
          <w:rFonts w:cs="Times New Roman" w:ascii="Times New Roman" w:hAnsi="Times New Roman"/>
          <w:b/>
        </w:rPr>
        <w:t>The Government imposed ‘Moratorium’ on building new gas fired power stations was removed in the period</w:t>
      </w:r>
      <w:r>
        <w:rPr>
          <w:rFonts w:cs="Times New Roman" w:ascii="Times New Roman" w:hAnsi="Times New Roman"/>
        </w:rPr>
        <w:t>, this coupled with the implementation of NETA will have a bearish effect on prices so that the expected site and site permit costs will fall considerably. This assumption is supported by the current Kent Power project. The implied decrease per Mwh in the cost of gas for the period 2010 to 2025 was in excess of 275 pence.</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Full details and support are documented in the Power Market Forward Curves Document (September 2000) and this should be read in conjunction with this memo.</w:t>
      </w:r>
    </w:p>
    <w:p>
      <w:pPr>
        <w:pStyle w:val="MessageHeader"/>
        <w:numPr>
          <w:ilvl w:val="0"/>
          <w:numId w:val="0"/>
        </w:numPr>
        <w:tabs>
          <w:tab w:val="clear" w:pos="720"/>
          <w:tab w:val="left" w:pos="0" w:leader="none"/>
        </w:tabs>
        <w:ind w:hanging="0" w:start="0" w:end="0"/>
        <w:outlineLvl w:val="0"/>
        <w:rPr>
          <w:rFonts w:ascii="Times New Roman" w:hAnsi="Times New Roman" w:cs="Times New Roman"/>
          <w:b/>
          <w:u w:val="single"/>
        </w:rPr>
      </w:pPr>
      <w:r>
        <w:rPr>
          <w:rFonts w:cs="Times New Roman" w:ascii="Times New Roman" w:hAnsi="Times New Roman"/>
          <w:b/>
          <w:u w:val="single"/>
        </w:rPr>
        <w:t>3 Review – Other Risk Variables</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t>Interest rate risk is not reviewed as all P&amp;L derived from this is passed to the Interest rate book.  The UK Power book has in this quarter accrued interest from the NP Accrual Book. This interest is then swapped to the Interest Rate Desk  to offset against the negative theta cash flows on the out of the money PPA contract.</w:t>
      </w:r>
    </w:p>
    <w:p>
      <w:pPr>
        <w:pStyle w:val="MessageHeader"/>
        <w:tabs>
          <w:tab w:val="clear" w:pos="720"/>
          <w:tab w:val="left" w:pos="0" w:leader="none"/>
        </w:tabs>
        <w:ind w:hanging="0" w:start="0" w:end="0"/>
        <w:rPr/>
      </w:pPr>
      <w:r>
        <w:rPr>
          <w:rFonts w:cs="Times New Roman" w:ascii="Times New Roman" w:hAnsi="Times New Roman"/>
        </w:rPr>
        <w:t xml:space="preserve"> </w:t>
      </w:r>
      <w:r>
        <w:rPr>
          <w:rFonts w:cs="Times New Roman" w:ascii="Times New Roman" w:hAnsi="Times New Roman"/>
        </w:rPr>
        <w:t xml:space="preserve">The </w:t>
      </w:r>
      <w:r>
        <w:rPr>
          <w:rFonts w:cs="Times New Roman" w:ascii="Times New Roman" w:hAnsi="Times New Roman"/>
          <w:b/>
        </w:rPr>
        <w:t>present value</w:t>
      </w:r>
      <w:r>
        <w:rPr>
          <w:rFonts w:cs="Times New Roman" w:ascii="Times New Roman" w:hAnsi="Times New Roman"/>
        </w:rPr>
        <w:t xml:space="preserve"> of </w:t>
      </w:r>
      <w:r>
        <w:rPr>
          <w:rFonts w:cs="Times New Roman" w:ascii="Times New Roman" w:hAnsi="Times New Roman"/>
          <w:b/>
        </w:rPr>
        <w:t>options</w:t>
      </w:r>
      <w:r>
        <w:rPr>
          <w:rFonts w:cs="Times New Roman" w:ascii="Times New Roman" w:hAnsi="Times New Roman"/>
        </w:rPr>
        <w:t xml:space="preserve"> and </w:t>
      </w:r>
      <w:r>
        <w:rPr>
          <w:rFonts w:cs="Times New Roman" w:ascii="Times New Roman" w:hAnsi="Times New Roman"/>
          <w:b/>
        </w:rPr>
        <w:t>swaptions</w:t>
      </w:r>
      <w:r>
        <w:rPr>
          <w:rFonts w:cs="Times New Roman" w:ascii="Times New Roman" w:hAnsi="Times New Roman"/>
        </w:rPr>
        <w:t xml:space="preserve">  was </w:t>
      </w:r>
      <w:r>
        <w:rPr>
          <w:rFonts w:cs="Times New Roman" w:ascii="Times New Roman" w:hAnsi="Times New Roman"/>
          <w:b/>
        </w:rPr>
        <w:t>£(13.9)</w:t>
      </w:r>
      <w:r>
        <w:rPr>
          <w:rFonts w:cs="Times New Roman" w:ascii="Times New Roman" w:hAnsi="Times New Roman"/>
        </w:rPr>
        <w:t xml:space="preserve">m (September £(16.0)m) with </w:t>
      </w:r>
      <w:r>
        <w:rPr>
          <w:rFonts w:cs="Times New Roman" w:ascii="Times New Roman" w:hAnsi="Times New Roman"/>
          <w:b/>
        </w:rPr>
        <w:t>maturities</w:t>
      </w:r>
      <w:r>
        <w:rPr>
          <w:rFonts w:cs="Times New Roman" w:ascii="Times New Roman" w:hAnsi="Times New Roman"/>
        </w:rPr>
        <w:t xml:space="preserve"> going out to </w:t>
      </w:r>
      <w:r>
        <w:rPr>
          <w:rFonts w:cs="Times New Roman" w:ascii="Times New Roman" w:hAnsi="Times New Roman"/>
          <w:b/>
        </w:rPr>
        <w:t xml:space="preserve">October 2005 </w:t>
      </w:r>
      <w:r>
        <w:rPr>
          <w:rFonts w:cs="Times New Roman" w:ascii="Times New Roman" w:hAnsi="Times New Roman"/>
        </w:rPr>
        <w:t xml:space="preserve">(August October 2005) </w:t>
      </w:r>
    </w:p>
    <w:p>
      <w:pPr>
        <w:pStyle w:val="MessageHeader"/>
        <w:tabs>
          <w:tab w:val="clear" w:pos="720"/>
          <w:tab w:val="left" w:pos="0" w:leader="none"/>
        </w:tabs>
        <w:ind w:hanging="0" w:start="0" w:end="0"/>
        <w:rPr/>
      </w:pPr>
      <w:r>
        <w:rPr>
          <w:rFonts w:cs="Times New Roman" w:ascii="Times New Roman" w:hAnsi="Times New Roman"/>
        </w:rPr>
        <w:t xml:space="preserve">There are </w:t>
      </w:r>
      <w:r>
        <w:rPr>
          <w:rFonts w:cs="Times New Roman" w:ascii="Times New Roman" w:hAnsi="Times New Roman"/>
          <w:b/>
        </w:rPr>
        <w:t>no market quotes</w:t>
      </w:r>
      <w:r>
        <w:rPr>
          <w:rFonts w:cs="Times New Roman" w:ascii="Times New Roman" w:hAnsi="Times New Roman"/>
        </w:rPr>
        <w:t xml:space="preserve"> for </w:t>
      </w:r>
      <w:r>
        <w:rPr>
          <w:rFonts w:cs="Times New Roman" w:ascii="Times New Roman" w:hAnsi="Times New Roman"/>
          <w:b/>
        </w:rPr>
        <w:t>implied volatilities</w:t>
      </w:r>
      <w:r>
        <w:rPr>
          <w:rFonts w:cs="Times New Roman" w:ascii="Times New Roman" w:hAnsi="Times New Roman"/>
        </w:rPr>
        <w:t>. Trades are compared to volatilities implied from option trades completed or reported in the month to ensure consistency. Volatility ladders were</w:t>
      </w:r>
      <w:r>
        <w:rPr>
          <w:rFonts w:cs="Times New Roman" w:ascii="Times New Roman" w:hAnsi="Times New Roman"/>
          <w:i/>
        </w:rPr>
        <w:t xml:space="preserve"> </w:t>
      </w:r>
      <w:r>
        <w:rPr>
          <w:rFonts w:cs="Times New Roman" w:ascii="Times New Roman" w:hAnsi="Times New Roman"/>
        </w:rPr>
        <w:t>calculated to quantify the sensitivity of the portfolio to volatility moves.</w:t>
      </w:r>
      <w:r>
        <w:rPr>
          <w:rFonts w:cs="Times New Roman" w:ascii="Times New Roman" w:hAnsi="Times New Roman"/>
          <w:i/>
        </w:rPr>
        <w:t xml:space="preserve"> </w:t>
      </w:r>
      <w:r>
        <w:rPr>
          <w:rFonts w:cs="Times New Roman" w:ascii="Times New Roman" w:hAnsi="Times New Roman"/>
        </w:rPr>
        <w:t xml:space="preserve">Enron is  </w:t>
      </w:r>
      <w:r>
        <w:rPr>
          <w:rFonts w:cs="Times New Roman" w:ascii="Times New Roman" w:hAnsi="Times New Roman"/>
          <w:b/>
        </w:rPr>
        <w:t>net  long</w:t>
      </w:r>
      <w:r>
        <w:rPr>
          <w:rFonts w:cs="Times New Roman" w:ascii="Times New Roman" w:hAnsi="Times New Roman"/>
          <w:b/>
          <w:i/>
        </w:rPr>
        <w:t xml:space="preserve"> </w:t>
      </w:r>
      <w:r>
        <w:rPr>
          <w:rFonts w:cs="Times New Roman" w:ascii="Times New Roman" w:hAnsi="Times New Roman"/>
          <w:b/>
        </w:rPr>
        <w:t xml:space="preserve"> volatility – </w:t>
      </w:r>
      <w:r>
        <w:rPr>
          <w:rFonts w:cs="Times New Roman" w:ascii="Times New Roman" w:hAnsi="Times New Roman"/>
          <w:i/>
        </w:rPr>
        <w:t>.</w:t>
      </w:r>
      <w:r>
        <w:rPr>
          <w:rFonts w:cs="Times New Roman" w:ascii="Times New Roman" w:hAnsi="Times New Roman"/>
        </w:rPr>
        <w:t xml:space="preserve"> For a base load </w:t>
      </w:r>
      <w:r>
        <w:rPr>
          <w:rFonts w:cs="Times New Roman" w:ascii="Times New Roman" w:hAnsi="Times New Roman"/>
          <w:b/>
        </w:rPr>
        <w:t>volatility move of +/- 1%</w:t>
      </w:r>
      <w:r>
        <w:rPr>
          <w:rFonts w:cs="Times New Roman" w:ascii="Times New Roman" w:hAnsi="Times New Roman"/>
        </w:rPr>
        <w:t xml:space="preserve"> the </w:t>
      </w:r>
      <w:r>
        <w:rPr>
          <w:rFonts w:cs="Times New Roman" w:ascii="Times New Roman" w:hAnsi="Times New Roman"/>
          <w:b/>
        </w:rPr>
        <w:t>implied P&amp;L</w:t>
      </w:r>
      <w:r>
        <w:rPr>
          <w:rFonts w:cs="Times New Roman" w:ascii="Times New Roman" w:hAnsi="Times New Roman"/>
        </w:rPr>
        <w:t xml:space="preserve"> would be a </w:t>
      </w:r>
      <w:r>
        <w:rPr>
          <w:rFonts w:cs="Times New Roman" w:ascii="Times New Roman" w:hAnsi="Times New Roman"/>
          <w:b/>
        </w:rPr>
        <w:t>profit of £95k</w:t>
      </w:r>
      <w:r>
        <w:rPr>
          <w:rFonts w:cs="Times New Roman" w:ascii="Times New Roman" w:hAnsi="Times New Roman"/>
        </w:rPr>
        <w:t xml:space="preserve"> / loss of </w:t>
      </w:r>
      <w:r>
        <w:rPr>
          <w:rFonts w:cs="Times New Roman" w:ascii="Times New Roman" w:hAnsi="Times New Roman"/>
          <w:b/>
        </w:rPr>
        <w:t>£101k respectively</w:t>
      </w:r>
      <w:r>
        <w:rPr>
          <w:rFonts w:cs="Times New Roman" w:ascii="Times New Roman" w:hAnsi="Times New Roman"/>
        </w:rPr>
        <w:t xml:space="preserve"> (October profit of £74k / loss of £80k) For a  </w:t>
      </w:r>
      <w:r>
        <w:rPr>
          <w:rFonts w:cs="Times New Roman" w:ascii="Times New Roman" w:hAnsi="Times New Roman"/>
          <w:b/>
        </w:rPr>
        <w:t>move of +/- 5%</w:t>
      </w:r>
      <w:r>
        <w:rPr>
          <w:rFonts w:cs="Times New Roman" w:ascii="Times New Roman" w:hAnsi="Times New Roman"/>
        </w:rPr>
        <w:t xml:space="preserve"> the </w:t>
      </w:r>
      <w:r>
        <w:rPr>
          <w:rFonts w:cs="Times New Roman" w:ascii="Times New Roman" w:hAnsi="Times New Roman"/>
          <w:b/>
        </w:rPr>
        <w:t>implied P&amp;L</w:t>
      </w:r>
      <w:r>
        <w:rPr>
          <w:rFonts w:cs="Times New Roman" w:ascii="Times New Roman" w:hAnsi="Times New Roman"/>
        </w:rPr>
        <w:t xml:space="preserve"> would be a </w:t>
      </w:r>
      <w:r>
        <w:rPr>
          <w:rFonts w:cs="Times New Roman" w:ascii="Times New Roman" w:hAnsi="Times New Roman"/>
          <w:b/>
        </w:rPr>
        <w:t>profit</w:t>
      </w:r>
      <w:r>
        <w:rPr>
          <w:rFonts w:cs="Times New Roman" w:ascii="Times New Roman" w:hAnsi="Times New Roman"/>
        </w:rPr>
        <w:t xml:space="preserve"> </w:t>
      </w:r>
      <w:r>
        <w:rPr>
          <w:rFonts w:cs="Times New Roman" w:ascii="Times New Roman" w:hAnsi="Times New Roman"/>
          <w:b/>
        </w:rPr>
        <w:t>of £414k/loss of £484k  respectively.  In relation to the size of the book the vega sensitivity is not considered material.</w:t>
      </w:r>
    </w:p>
    <w:p>
      <w:pPr>
        <w:pStyle w:val="BodyText"/>
        <w:spacing w:lineRule="auto" w:line="240"/>
        <w:rPr>
          <w:rFonts w:ascii="Times New Roman" w:hAnsi="Times New Roman" w:cs="Times New Roman"/>
        </w:rPr>
      </w:pPr>
      <w:r>
        <w:drawing>
          <wp:anchor behindDoc="0" distT="0" distB="0" distL="114935" distR="114935" simplePos="0" locked="0" layoutInCell="0" allowOverlap="1" relativeHeight="12">
            <wp:simplePos x="0" y="0"/>
            <wp:positionH relativeFrom="column">
              <wp:posOffset>-91440</wp:posOffset>
            </wp:positionH>
            <wp:positionV relativeFrom="paragraph">
              <wp:posOffset>443230</wp:posOffset>
            </wp:positionV>
            <wp:extent cx="3002280" cy="3657600"/>
            <wp:effectExtent l="0" t="0" r="0" b="0"/>
            <wp:wrapTopAndBottom/>
            <wp:docPr id="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title=""/>
                    <pic:cNvPicPr>
                      <a:picLocks noChangeAspect="1" noChangeArrowheads="1"/>
                    </pic:cNvPicPr>
                  </pic:nvPicPr>
                  <pic:blipFill>
                    <a:blip r:embed="rId9"/>
                    <a:srcRect l="-9" t="-7" r="-9" b="-7"/>
                    <a:stretch>
                      <a:fillRect/>
                    </a:stretch>
                  </pic:blipFill>
                  <pic:spPr bwMode="auto">
                    <a:xfrm>
                      <a:off x="0" y="0"/>
                      <a:ext cx="3002280" cy="3657600"/>
                    </a:xfrm>
                    <a:prstGeom prst="rect">
                      <a:avLst/>
                    </a:prstGeom>
                    <a:noFill/>
                  </pic:spPr>
                </pic:pic>
              </a:graphicData>
            </a:graphic>
          </wp:anchor>
        </w:drawing>
      </w:r>
      <w:r>
        <w:rPr>
          <w:rFonts w:cs="Times New Roman" w:ascii="Times New Roman" w:hAnsi="Times New Roman"/>
        </w:rPr>
        <w:t>Average results by season are reflected below:</w:t>
      </w:r>
    </w:p>
    <w:p>
      <w:pPr>
        <w:pStyle w:val="BodyText"/>
        <w:spacing w:lineRule="auto" w:line="240"/>
        <w:rPr/>
      </w:pPr>
      <w:r>
        <w:rPr>
          <w:rFonts w:cs="Times New Roman" w:ascii="Times New Roman" w:hAnsi="Times New Roman"/>
        </w:rPr>
        <w:t xml:space="preserve">There were </w:t>
      </w:r>
      <w:r>
        <w:rPr>
          <w:rFonts w:cs="Times New Roman" w:ascii="Times New Roman" w:hAnsi="Times New Roman"/>
          <w:b/>
        </w:rPr>
        <w:t>27 swaptions / options traded this month</w:t>
      </w:r>
      <w:r>
        <w:rPr>
          <w:rFonts w:cs="Times New Roman" w:ascii="Times New Roman" w:hAnsi="Times New Roman"/>
        </w:rPr>
        <w:t xml:space="preserve"> by Enron (October 6) – In November 12 weekly options were traded for the first time.</w:t>
      </w:r>
    </w:p>
    <w:p>
      <w:pPr>
        <w:pStyle w:val="BodyText"/>
        <w:spacing w:lineRule="auto" w:line="240"/>
        <w:rPr/>
      </w:pPr>
      <w:r>
        <w:rPr>
          <w:rFonts w:cs="Times New Roman" w:ascii="Times New Roman" w:hAnsi="Times New Roman"/>
        </w:rPr>
        <w:t xml:space="preserve"> </w:t>
      </w:r>
      <w:r>
        <w:rPr>
          <w:rFonts w:cs="Times New Roman" w:ascii="Times New Roman" w:hAnsi="Times New Roman"/>
        </w:rPr>
        <w:t xml:space="preserve">The </w:t>
      </w:r>
      <w:r>
        <w:rPr>
          <w:rFonts w:cs="Times New Roman" w:ascii="Times New Roman" w:hAnsi="Times New Roman"/>
          <w:b/>
        </w:rPr>
        <w:t>volatility</w:t>
      </w:r>
      <w:r>
        <w:rPr>
          <w:rFonts w:cs="Times New Roman" w:ascii="Times New Roman" w:hAnsi="Times New Roman"/>
        </w:rPr>
        <w:t xml:space="preserve"> on these trades was on average 32% (September 19%) – These options were for April – September 2001. </w:t>
      </w:r>
    </w:p>
    <w:p>
      <w:pPr>
        <w:pStyle w:val="BodyText"/>
        <w:numPr>
          <w:ilvl w:val="0"/>
          <w:numId w:val="0"/>
        </w:numPr>
        <w:spacing w:lineRule="auto" w:line="240"/>
        <w:outlineLvl w:val="0"/>
        <w:rPr>
          <w:rFonts w:ascii="Times New Roman" w:hAnsi="Times New Roman" w:cs="Times New Roman"/>
          <w:b/>
          <w:u w:val="single"/>
        </w:rPr>
      </w:pPr>
      <w:r>
        <w:rPr>
          <w:rFonts w:cs="Times New Roman" w:ascii="Times New Roman" w:hAnsi="Times New Roman"/>
          <w:b/>
          <w:u w:val="single"/>
        </w:rPr>
        <w:t>C – P&amp;L Commentary</w:t>
      </w:r>
    </w:p>
    <w:p>
      <w:pPr>
        <w:pStyle w:val="BodyText"/>
        <w:numPr>
          <w:ilvl w:val="0"/>
          <w:numId w:val="0"/>
        </w:numPr>
        <w:spacing w:lineRule="auto" w:line="240"/>
        <w:outlineLvl w:val="0"/>
        <w:rPr>
          <w:rFonts w:ascii="Times New Roman" w:hAnsi="Times New Roman" w:cs="Times New Roman"/>
          <w:color w:val="000000"/>
        </w:rPr>
      </w:pPr>
      <w:r>
        <w:rPr>
          <w:rFonts w:cs="Times New Roman" w:ascii="Times New Roman" w:hAnsi="Times New Roman"/>
          <w:b/>
          <w:color w:val="000000"/>
          <w:u w:val="single"/>
        </w:rPr>
        <w:t>1. Profit  and Loss changes</w:t>
      </w:r>
    </w:p>
    <w:p>
      <w:pPr>
        <w:pStyle w:val="BodyText"/>
        <w:numPr>
          <w:ilvl w:val="0"/>
          <w:numId w:val="0"/>
        </w:numPr>
        <w:spacing w:lineRule="auto" w:line="240"/>
        <w:outlineLvl w:val="0"/>
        <w:rPr>
          <w:rFonts w:ascii="Times New Roman" w:hAnsi="Times New Roman" w:cs="Times New Roman"/>
          <w:color w:val="000000"/>
        </w:rPr>
      </w:pPr>
      <w:r>
        <w:rPr>
          <w:rFonts w:cs="Times New Roman" w:ascii="Times New Roman" w:hAnsi="Times New Roman"/>
          <w:color w:val="000000"/>
        </w:rPr>
        <w:t xml:space="preserve">The P&amp;L for November was a profit of  </w:t>
      </w:r>
      <w:r>
        <w:rPr>
          <w:rFonts w:cs="Times New Roman" w:ascii="Times New Roman" w:hAnsi="Times New Roman"/>
          <w:b/>
          <w:color w:val="000000"/>
        </w:rPr>
        <w:t>£21,000,949  - Income drivers are summarised below</w:t>
      </w:r>
    </w:p>
    <w:p>
      <w:pPr>
        <w:pStyle w:val="BodyText"/>
        <w:spacing w:lineRule="auto" w:line="240"/>
        <w:rPr>
          <w:rFonts w:ascii="Times New Roman" w:hAnsi="Times New Roman" w:cs="Times New Roman"/>
          <w:color w:val="000000"/>
          <w:lang w:val="en-CA" w:eastAsia="en-CA"/>
        </w:rPr>
      </w:pPr>
      <w:r>
        <w:rPr>
          <w:rFonts w:cs="Times New Roman" w:ascii="Times New Roman" w:hAnsi="Times New Roman"/>
          <w:color w:val="000000"/>
          <w:lang w:val="en-CA" w:eastAsia="en-CA"/>
        </w:rPr>
        <w:drawing>
          <wp:anchor behindDoc="0" distT="0" distB="0" distL="114935" distR="114935" simplePos="0" locked="0" layoutInCell="1" allowOverlap="1" relativeHeight="7">
            <wp:simplePos x="0" y="0"/>
            <wp:positionH relativeFrom="column">
              <wp:posOffset>0</wp:posOffset>
            </wp:positionH>
            <wp:positionV relativeFrom="paragraph">
              <wp:posOffset>77470</wp:posOffset>
            </wp:positionV>
            <wp:extent cx="6583680" cy="3237230"/>
            <wp:effectExtent l="0" t="0" r="0" b="0"/>
            <wp:wrapNone/>
            <wp:docPr id="6"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title=""/>
                    <pic:cNvPicPr>
                      <a:picLocks noChangeAspect="1" noChangeArrowheads="1"/>
                    </pic:cNvPicPr>
                  </pic:nvPicPr>
                  <pic:blipFill>
                    <a:blip r:embed="rId10"/>
                    <a:srcRect l="-7" t="-14" r="-7" b="-14"/>
                    <a:stretch>
                      <a:fillRect/>
                    </a:stretch>
                  </pic:blipFill>
                  <pic:spPr bwMode="auto">
                    <a:xfrm>
                      <a:off x="0" y="0"/>
                      <a:ext cx="6583680" cy="3237230"/>
                    </a:xfrm>
                    <a:prstGeom prst="rect">
                      <a:avLst/>
                    </a:prstGeom>
                    <a:noFill/>
                  </pic:spPr>
                </pic:pic>
              </a:graphicData>
            </a:graphic>
          </wp:anchor>
        </w:drawing>
      </w:r>
    </w:p>
    <w:p>
      <w:pPr>
        <w:pStyle w:val="BodyText"/>
        <w:spacing w:lineRule="auto" w:line="240"/>
        <w:rPr>
          <w:rFonts w:ascii="Times New Roman" w:hAnsi="Times New Roman" w:cs="Times New Roman"/>
          <w:color w:val="000000"/>
        </w:rPr>
      </w:pPr>
      <w:r>
        <w:rPr>
          <w:rFonts w:cs="Times New Roman" w:ascii="Times New Roman" w:hAnsi="Times New Roman"/>
          <w:color w:val="000000"/>
        </w:rPr>
      </w:r>
    </w:p>
    <w:p>
      <w:pPr>
        <w:pStyle w:val="BodyText"/>
        <w:spacing w:lineRule="auto" w:line="240"/>
        <w:rPr>
          <w:rFonts w:ascii="Times New Roman" w:hAnsi="Times New Roman" w:cs="Times New Roman"/>
          <w:color w:val="000000"/>
        </w:rPr>
      </w:pPr>
      <w:r>
        <w:rPr>
          <w:rFonts w:cs="Times New Roman" w:ascii="Times New Roman" w:hAnsi="Times New Roman"/>
          <w:color w:val="000000"/>
        </w:rPr>
      </w:r>
    </w:p>
    <w:p>
      <w:pPr>
        <w:pStyle w:val="BodyText"/>
        <w:spacing w:lineRule="auto" w:line="240"/>
        <w:rPr>
          <w:rFonts w:ascii="Times New Roman" w:hAnsi="Times New Roman" w:cs="Times New Roman"/>
          <w:color w:val="000000"/>
        </w:rPr>
      </w:pPr>
      <w:r>
        <w:rPr>
          <w:rFonts w:cs="Times New Roman" w:ascii="Times New Roman" w:hAnsi="Times New Roman"/>
          <w:color w:val="000000"/>
        </w:rPr>
      </w:r>
    </w:p>
    <w:p>
      <w:pPr>
        <w:pStyle w:val="BodyText"/>
        <w:spacing w:lineRule="auto" w:line="240"/>
        <w:rPr>
          <w:rFonts w:ascii="Times New Roman" w:hAnsi="Times New Roman" w:cs="Times New Roman"/>
          <w:color w:val="000000"/>
        </w:rPr>
      </w:pPr>
      <w:r>
        <w:rPr>
          <w:rFonts w:cs="Times New Roman" w:ascii="Times New Roman" w:hAnsi="Times New Roman"/>
          <w:color w:val="000000"/>
        </w:rPr>
      </w:r>
    </w:p>
    <w:p>
      <w:pPr>
        <w:pStyle w:val="BodyText"/>
        <w:spacing w:lineRule="auto" w:line="240"/>
        <w:rPr>
          <w:rFonts w:ascii="Times New Roman" w:hAnsi="Times New Roman" w:cs="Times New Roman"/>
          <w:color w:val="000000"/>
        </w:rPr>
      </w:pPr>
      <w:r>
        <w:rPr>
          <w:rFonts w:cs="Times New Roman" w:ascii="Times New Roman" w:hAnsi="Times New Roman"/>
          <w:color w:val="000000"/>
        </w:rPr>
      </w:r>
    </w:p>
    <w:p>
      <w:pPr>
        <w:pStyle w:val="BodyText"/>
        <w:spacing w:lineRule="auto" w:line="240"/>
        <w:rPr>
          <w:rFonts w:ascii="Times New Roman" w:hAnsi="Times New Roman" w:cs="Times New Roman"/>
          <w:color w:val="000000"/>
        </w:rPr>
      </w:pPr>
      <w:r>
        <w:rPr>
          <w:rFonts w:cs="Times New Roman" w:ascii="Times New Roman" w:hAnsi="Times New Roman"/>
          <w:color w:val="000000"/>
        </w:rPr>
      </w:r>
    </w:p>
    <w:p>
      <w:pPr>
        <w:pStyle w:val="BodyText"/>
        <w:spacing w:lineRule="auto" w:line="240"/>
        <w:rPr>
          <w:rFonts w:ascii="Times New Roman" w:hAnsi="Times New Roman" w:cs="Times New Roman"/>
          <w:color w:val="000000"/>
        </w:rPr>
      </w:pPr>
      <w:r>
        <w:rPr>
          <w:rFonts w:cs="Times New Roman" w:ascii="Times New Roman" w:hAnsi="Times New Roman"/>
          <w:color w:val="000000"/>
        </w:rPr>
      </w:r>
    </w:p>
    <w:p>
      <w:pPr>
        <w:pStyle w:val="BodyText"/>
        <w:spacing w:lineRule="auto" w:line="240"/>
        <w:rPr>
          <w:rFonts w:ascii="Times New Roman" w:hAnsi="Times New Roman" w:cs="Times New Roman"/>
          <w:color w:val="000000"/>
        </w:rPr>
      </w:pPr>
      <w:r>
        <w:rPr>
          <w:rFonts w:cs="Times New Roman" w:ascii="Times New Roman" w:hAnsi="Times New Roman"/>
          <w:color w:val="000000"/>
        </w:rPr>
      </w:r>
    </w:p>
    <w:p>
      <w:pPr>
        <w:pStyle w:val="BodyText"/>
        <w:spacing w:lineRule="auto" w:line="240"/>
        <w:rPr>
          <w:rFonts w:ascii="Times New Roman" w:hAnsi="Times New Roman" w:cs="Times New Roman"/>
          <w:color w:val="000000"/>
        </w:rPr>
      </w:pPr>
      <w:r>
        <w:rPr>
          <w:rFonts w:cs="Times New Roman" w:ascii="Times New Roman" w:hAnsi="Times New Roman"/>
          <w:color w:val="000000"/>
        </w:rPr>
      </w:r>
    </w:p>
    <w:p>
      <w:pPr>
        <w:pStyle w:val="BodyText"/>
        <w:spacing w:lineRule="auto" w:line="240"/>
        <w:rPr>
          <w:rFonts w:ascii="Times New Roman" w:hAnsi="Times New Roman" w:cs="Times New Roman"/>
          <w:color w:val="000000"/>
        </w:rPr>
      </w:pPr>
      <w:r>
        <w:rPr>
          <w:rFonts w:cs="Times New Roman" w:ascii="Times New Roman" w:hAnsi="Times New Roman"/>
          <w:color w:val="000000"/>
        </w:rPr>
        <w:drawing>
          <wp:anchor behindDoc="0" distT="0" distB="0" distL="114935" distR="114935" simplePos="0" locked="0" layoutInCell="0" allowOverlap="1" relativeHeight="8">
            <wp:simplePos x="0" y="0"/>
            <wp:positionH relativeFrom="column">
              <wp:posOffset>91440</wp:posOffset>
            </wp:positionH>
            <wp:positionV relativeFrom="paragraph">
              <wp:posOffset>443230</wp:posOffset>
            </wp:positionV>
            <wp:extent cx="6492240" cy="852805"/>
            <wp:effectExtent l="0" t="0" r="0" b="0"/>
            <wp:wrapTopAndBottom/>
            <wp:docPr id="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title=""/>
                    <pic:cNvPicPr>
                      <a:picLocks noChangeAspect="1" noChangeArrowheads="1"/>
                    </pic:cNvPicPr>
                  </pic:nvPicPr>
                  <pic:blipFill>
                    <a:blip r:embed="rId11"/>
                    <a:srcRect l="-7" t="-52" r="-7" b="-52"/>
                    <a:stretch>
                      <a:fillRect/>
                    </a:stretch>
                  </pic:blipFill>
                  <pic:spPr bwMode="auto">
                    <a:xfrm>
                      <a:off x="0" y="0"/>
                      <a:ext cx="6492240" cy="852805"/>
                    </a:xfrm>
                    <a:prstGeom prst="rect">
                      <a:avLst/>
                    </a:prstGeom>
                    <a:noFill/>
                  </pic:spPr>
                </pic:pic>
              </a:graphicData>
            </a:graphic>
          </wp:anchor>
        </w:drawing>
      </w:r>
    </w:p>
    <w:p>
      <w:pPr>
        <w:pStyle w:val="BodyText"/>
        <w:spacing w:lineRule="auto" w:line="240"/>
        <w:rPr>
          <w:rFonts w:ascii="Times New Roman" w:hAnsi="Times New Roman" w:cs="Times New Roman"/>
          <w:color w:val="000000"/>
        </w:rPr>
      </w:pPr>
      <w:r>
        <w:rPr>
          <w:rFonts w:cs="Times New Roman" w:ascii="Times New Roman" w:hAnsi="Times New Roman"/>
          <w:color w:val="000000"/>
        </w:rPr>
        <w:t>The main changes for the month were:</w:t>
        <w:tab/>
      </w:r>
    </w:p>
    <w:p>
      <w:pPr>
        <w:pStyle w:val="BodyText"/>
        <w:numPr>
          <w:ilvl w:val="0"/>
          <w:numId w:val="2"/>
        </w:numPr>
        <w:tabs>
          <w:tab w:val="clear" w:pos="720"/>
          <w:tab w:val="left" w:pos="1080" w:leader="none"/>
        </w:tabs>
        <w:spacing w:lineRule="auto" w:line="240"/>
        <w:ind w:hanging="360" w:start="1080" w:end="0"/>
        <w:rPr>
          <w:rFonts w:ascii="Times New Roman" w:hAnsi="Times New Roman" w:cs="Times New Roman"/>
        </w:rPr>
      </w:pPr>
      <w:r>
        <w:rPr>
          <w:rFonts w:cs="Times New Roman" w:ascii="Times New Roman" w:hAnsi="Times New Roman"/>
          <w:b/>
        </w:rPr>
        <w:t xml:space="preserve">Intra Month Profits of £6.6M </w:t>
      </w:r>
      <w:r>
        <w:rPr>
          <w:rFonts w:cs="Times New Roman" w:ascii="Times New Roman" w:hAnsi="Times New Roman"/>
        </w:rPr>
        <w:t>on a short position, this is largely due to reduced out turn prices for November due to plant returning on line and low seasonal temperatures.  The boyant December prompt month also liquidated in the period. Significant price falls were made in the month, as December moved to realign itself against the November out turn prices. This trend is continued into the December period. With the low outturn for November the whole of the prompt looks well overvalued – as the back end of December is all holidays prices should be lower for the month than they were for November.</w:t>
      </w:r>
    </w:p>
    <w:p>
      <w:pPr>
        <w:pStyle w:val="BodyText"/>
        <w:numPr>
          <w:ilvl w:val="0"/>
          <w:numId w:val="2"/>
        </w:numPr>
        <w:tabs>
          <w:tab w:val="clear" w:pos="720"/>
          <w:tab w:val="left" w:pos="1080" w:leader="none"/>
        </w:tabs>
        <w:spacing w:lineRule="auto" w:line="240"/>
        <w:ind w:hanging="360" w:start="1080" w:end="0"/>
        <w:rPr>
          <w:rFonts w:ascii="Times New Roman" w:hAnsi="Times New Roman" w:cs="Times New Roman"/>
        </w:rPr>
      </w:pPr>
      <w:r>
        <w:rPr>
          <w:rFonts w:cs="Times New Roman" w:ascii="Times New Roman" w:hAnsi="Times New Roman"/>
          <w:b/>
        </w:rPr>
        <w:t xml:space="preserve">Energy Trends Profits of  £7.8M </w:t>
      </w:r>
      <w:r>
        <w:rPr>
          <w:rFonts w:cs="Times New Roman" w:ascii="Times New Roman" w:hAnsi="Times New Roman"/>
        </w:rPr>
        <w:t>due to a revision of the assumptions concerning Climate Change Levy (“CCL”). This is due to the current DTI proposal to publish two tables, one including CCL and one excluding. Management view is that for the contracts that Enron has with Energy Trends indexation (J Block and National Power PPA),  these should be indexed to the table that excludes CCL as this is an exact continuation of the existing published table.</w:t>
      </w:r>
    </w:p>
    <w:p>
      <w:pPr>
        <w:pStyle w:val="BodyText"/>
        <w:numPr>
          <w:ilvl w:val="0"/>
          <w:numId w:val="2"/>
        </w:numPr>
        <w:tabs>
          <w:tab w:val="clear" w:pos="720"/>
          <w:tab w:val="left" w:pos="1080" w:leader="none"/>
        </w:tabs>
        <w:spacing w:lineRule="auto" w:line="240"/>
        <w:ind w:hanging="360" w:start="1080" w:end="0"/>
        <w:rPr>
          <w:rFonts w:ascii="Times New Roman" w:hAnsi="Times New Roman" w:cs="Times New Roman"/>
        </w:rPr>
      </w:pPr>
      <w:r>
        <w:rPr>
          <w:rFonts w:cs="Times New Roman" w:ascii="Times New Roman" w:hAnsi="Times New Roman"/>
          <w:b/>
        </w:rPr>
        <w:t xml:space="preserve">Delta profits of  £6.6M </w:t>
      </w:r>
      <w:r>
        <w:rPr>
          <w:rFonts w:cs="Times New Roman" w:ascii="Times New Roman" w:hAnsi="Times New Roman"/>
        </w:rPr>
        <w:t>on an overall  short position, the majority of these earnings have been generated in Winter 2001, this is a direct knock on as a result of the low out turn prices being experienced for Winter 2000. This is detailed below:</w:t>
      </w:r>
    </w:p>
    <w:p>
      <w:pPr>
        <w:pStyle w:val="BodyText"/>
        <w:spacing w:lineRule="auto" w:line="240"/>
        <w:rPr>
          <w:rFonts w:ascii="Times New Roman" w:hAnsi="Times New Roman" w:cs="Times New Roman"/>
          <w:lang w:val="en-CA" w:eastAsia="en-CA"/>
        </w:rPr>
      </w:pPr>
      <w:r>
        <w:rPr>
          <w:rFonts w:cs="Times New Roman" w:ascii="Times New Roman" w:hAnsi="Times New Roman"/>
          <w:lang w:val="en-CA" w:eastAsia="en-CA"/>
        </w:rPr>
        <w:drawing>
          <wp:anchor behindDoc="0" distT="0" distB="0" distL="114935" distR="114935" simplePos="0" locked="0" layoutInCell="1" allowOverlap="1" relativeHeight="9">
            <wp:simplePos x="0" y="0"/>
            <wp:positionH relativeFrom="column">
              <wp:posOffset>91440</wp:posOffset>
            </wp:positionH>
            <wp:positionV relativeFrom="paragraph">
              <wp:posOffset>167640</wp:posOffset>
            </wp:positionV>
            <wp:extent cx="6363335" cy="2981960"/>
            <wp:effectExtent l="0" t="0" r="0" b="0"/>
            <wp:wrapNone/>
            <wp:docPr id="8"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descr="" title=""/>
                    <pic:cNvPicPr>
                      <a:picLocks noChangeAspect="1" noChangeArrowheads="1"/>
                    </pic:cNvPicPr>
                  </pic:nvPicPr>
                  <pic:blipFill>
                    <a:blip r:embed="rId12"/>
                    <a:srcRect l="-6" t="-12" r="-6" b="-12"/>
                    <a:stretch>
                      <a:fillRect/>
                    </a:stretch>
                  </pic:blipFill>
                  <pic:spPr bwMode="auto">
                    <a:xfrm>
                      <a:off x="0" y="0"/>
                      <a:ext cx="6363335" cy="2981960"/>
                    </a:xfrm>
                    <a:prstGeom prst="rect">
                      <a:avLst/>
                    </a:prstGeom>
                    <a:noFill/>
                  </pic:spPr>
                </pic:pic>
              </a:graphicData>
            </a:graphic>
          </wp:anchor>
        </w:drawing>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w:t>
      </w:r>
    </w:p>
    <w:p>
      <w:pPr>
        <w:pStyle w:val="BodyText"/>
        <w:numPr>
          <w:ilvl w:val="0"/>
          <w:numId w:val="0"/>
        </w:numPr>
        <w:spacing w:lineRule="auto" w:line="240"/>
        <w:outlineLvl w:val="0"/>
        <w:rPr>
          <w:rFonts w:ascii="Times New Roman" w:hAnsi="Times New Roman" w:cs="Times New Roman"/>
        </w:rPr>
      </w:pPr>
      <w:r>
        <w:rPr>
          <w:rFonts w:cs="Times New Roman" w:ascii="Times New Roman" w:hAnsi="Times New Roman"/>
          <w:b/>
          <w:u w:val="single"/>
        </w:rPr>
        <w:t>Realised Profit</w:t>
      </w:r>
    </w:p>
    <w:p>
      <w:pPr>
        <w:pStyle w:val="BodyText"/>
        <w:numPr>
          <w:ilvl w:val="0"/>
          <w:numId w:val="0"/>
        </w:numPr>
        <w:spacing w:lineRule="auto" w:line="240"/>
        <w:ind w:hanging="0" w:start="0"/>
        <w:rPr/>
      </w:pPr>
      <w:r>
        <w:rPr>
          <w:rFonts w:cs="Times New Roman" w:ascii="Times New Roman" w:hAnsi="Times New Roman"/>
        </w:rPr>
        <w:t xml:space="preserve">The realised </w:t>
      </w:r>
      <w:r>
        <w:rPr>
          <w:rFonts w:cs="Times New Roman" w:ascii="Times New Roman" w:hAnsi="Times New Roman"/>
          <w:b/>
        </w:rPr>
        <w:t>profit</w:t>
      </w:r>
      <w:r>
        <w:rPr>
          <w:rFonts w:cs="Times New Roman" w:ascii="Times New Roman" w:hAnsi="Times New Roman"/>
        </w:rPr>
        <w:t xml:space="preserve"> for November was </w:t>
      </w:r>
      <w:r>
        <w:rPr>
          <w:rFonts w:cs="Times New Roman" w:ascii="Times New Roman" w:hAnsi="Times New Roman"/>
          <w:b/>
        </w:rPr>
        <w:t>£10.6m</w:t>
      </w:r>
      <w:r>
        <w:rPr>
          <w:rFonts w:cs="Times New Roman" w:ascii="Times New Roman" w:hAnsi="Times New Roman"/>
        </w:rPr>
        <w:t xml:space="preserve"> (October 12.3m profit).</w:t>
      </w:r>
    </w:p>
    <w:p>
      <w:pPr>
        <w:pStyle w:val="BodyText"/>
        <w:numPr>
          <w:ilvl w:val="0"/>
          <w:numId w:val="3"/>
        </w:numPr>
        <w:spacing w:lineRule="auto" w:line="240"/>
        <w:rPr>
          <w:rFonts w:ascii="Times New Roman" w:hAnsi="Times New Roman" w:cs="Times New Roman"/>
        </w:rPr>
      </w:pPr>
      <w:r>
        <w:rPr>
          <w:rFonts w:cs="Times New Roman" w:ascii="Times New Roman" w:hAnsi="Times New Roman"/>
        </w:rPr>
        <w:t xml:space="preserve">PPP </w:t>
      </w:r>
      <w:r>
        <w:rPr>
          <w:rFonts w:cs="Times New Roman" w:ascii="Times New Roman" w:hAnsi="Times New Roman"/>
          <w:b/>
        </w:rPr>
        <w:t>£10.8m</w:t>
      </w:r>
      <w:r>
        <w:rPr>
          <w:rFonts w:cs="Times New Roman" w:ascii="Times New Roman" w:hAnsi="Times New Roman"/>
        </w:rPr>
        <w:t xml:space="preserve"> profit  (October £12.7m loss)</w:t>
      </w:r>
    </w:p>
    <w:p>
      <w:pPr>
        <w:pStyle w:val="BodyText"/>
        <w:numPr>
          <w:ilvl w:val="0"/>
          <w:numId w:val="3"/>
        </w:numPr>
        <w:spacing w:lineRule="auto" w:line="240"/>
        <w:rPr>
          <w:rFonts w:ascii="Times New Roman" w:hAnsi="Times New Roman" w:cs="Times New Roman"/>
        </w:rPr>
      </w:pPr>
      <w:r>
        <w:rPr>
          <w:rFonts w:cs="Times New Roman" w:ascii="Times New Roman" w:hAnsi="Times New Roman"/>
        </w:rPr>
        <w:t xml:space="preserve">SMP </w:t>
      </w:r>
      <w:r>
        <w:rPr>
          <w:rFonts w:cs="Times New Roman" w:ascii="Times New Roman" w:hAnsi="Times New Roman"/>
          <w:b/>
        </w:rPr>
        <w:t>£0m</w:t>
      </w:r>
      <w:r>
        <w:rPr>
          <w:rFonts w:cs="Times New Roman" w:ascii="Times New Roman" w:hAnsi="Times New Roman"/>
        </w:rPr>
        <w:t xml:space="preserve"> gain (October £0m gain)</w:t>
      </w:r>
    </w:p>
    <w:p>
      <w:pPr>
        <w:pStyle w:val="BodyText"/>
        <w:numPr>
          <w:ilvl w:val="0"/>
          <w:numId w:val="3"/>
        </w:numPr>
        <w:spacing w:lineRule="auto" w:line="240"/>
        <w:rPr>
          <w:rFonts w:ascii="Times New Roman" w:hAnsi="Times New Roman" w:cs="Times New Roman"/>
        </w:rPr>
      </w:pPr>
      <w:r>
        <w:rPr>
          <w:rFonts w:cs="Times New Roman" w:ascii="Times New Roman" w:hAnsi="Times New Roman"/>
        </w:rPr>
        <w:t xml:space="preserve">LOLP </w:t>
      </w:r>
      <w:r>
        <w:rPr>
          <w:rFonts w:cs="Times New Roman" w:ascii="Times New Roman" w:hAnsi="Times New Roman"/>
          <w:b/>
        </w:rPr>
        <w:t>£0.2</w:t>
      </w:r>
      <w:r>
        <w:rPr>
          <w:rFonts w:cs="Times New Roman" w:ascii="Times New Roman" w:hAnsi="Times New Roman"/>
        </w:rPr>
        <w:t xml:space="preserve"> loss (October £0.4m gain)</w:t>
      </w:r>
    </w:p>
    <w:p>
      <w:pPr>
        <w:pStyle w:val="BodyText"/>
        <w:numPr>
          <w:ilvl w:val="0"/>
          <w:numId w:val="0"/>
        </w:numPr>
        <w:spacing w:lineRule="auto" w:line="240"/>
        <w:ind w:hanging="0" w:start="0"/>
        <w:outlineLvl w:val="0"/>
        <w:rPr/>
      </w:pPr>
      <w:r>
        <w:rPr>
          <w:rFonts w:cs="Times New Roman" w:ascii="Times New Roman" w:hAnsi="Times New Roman"/>
        </w:rPr>
        <w:t xml:space="preserve">The total realised loss for the </w:t>
      </w:r>
      <w:r>
        <w:rPr>
          <w:rFonts w:cs="Times New Roman" w:ascii="Times New Roman" w:hAnsi="Times New Roman"/>
          <w:b/>
        </w:rPr>
        <w:t>eleven months</w:t>
      </w:r>
      <w:r>
        <w:rPr>
          <w:rFonts w:cs="Times New Roman" w:ascii="Times New Roman" w:hAnsi="Times New Roman"/>
        </w:rPr>
        <w:t xml:space="preserve"> to November was </w:t>
      </w:r>
      <w:r>
        <w:rPr>
          <w:rFonts w:cs="Times New Roman" w:ascii="Times New Roman" w:hAnsi="Times New Roman"/>
          <w:b/>
        </w:rPr>
        <w:t>£0.9m</w:t>
      </w:r>
      <w:r>
        <w:rPr>
          <w:rFonts w:cs="Times New Roman" w:ascii="Times New Roman" w:hAnsi="Times New Roman"/>
        </w:rPr>
        <w:t xml:space="preserve"> </w:t>
      </w:r>
    </w:p>
    <w:p>
      <w:pPr>
        <w:pStyle w:val="BodyText"/>
        <w:numPr>
          <w:ilvl w:val="0"/>
          <w:numId w:val="0"/>
        </w:numPr>
        <w:spacing w:lineRule="auto" w:line="240"/>
        <w:ind w:hanging="0" w:start="0"/>
        <w:outlineLvl w:val="0"/>
        <w:rPr>
          <w:rFonts w:ascii="Times New Roman" w:hAnsi="Times New Roman" w:cs="Times New Roman"/>
        </w:rPr>
      </w:pPr>
      <w:r>
        <w:rPr>
          <w:rFonts w:cs="Times New Roman" w:ascii="Times New Roman" w:hAnsi="Times New Roman"/>
          <w:b/>
          <w:u w:val="single"/>
        </w:rPr>
        <w:t xml:space="preserve">3. Prudency    </w:t>
      </w:r>
    </w:p>
    <w:p>
      <w:pPr>
        <w:pStyle w:val="BodyText"/>
        <w:spacing w:lineRule="auto" w:line="240" w:before="0" w:after="0"/>
        <w:rPr>
          <w:rFonts w:ascii="Times New Roman" w:hAnsi="Times New Roman" w:cs="Times New Roman"/>
        </w:rPr>
      </w:pPr>
      <w:r>
        <w:rPr>
          <w:rFonts w:cs="Times New Roman" w:ascii="Times New Roman" w:hAnsi="Times New Roman"/>
        </w:rPr>
        <w:t>All volumetric and general prudency reserves were released in Q3 2000. As a direct result of the increase in liquidity in the UK Power markets over the first three quarters of the year Enron Europe management believe non-transaction specific provisions are no longer required to cover liquidations costs of trading positions.</w:t>
      </w:r>
    </w:p>
    <w:p>
      <w:pPr>
        <w:pStyle w:val="BodyText"/>
        <w:spacing w:lineRule="auto" w:line="240" w:before="0" w:after="0"/>
        <w:rPr>
          <w:rFonts w:ascii="Times New Roman" w:hAnsi="Times New Roman" w:cs="Times New Roman"/>
        </w:rPr>
      </w:pPr>
      <w:r>
        <w:rPr>
          <w:rFonts w:cs="Times New Roman" w:ascii="Times New Roman" w:hAnsi="Times New Roman"/>
        </w:rPr>
      </w:r>
    </w:p>
    <w:p>
      <w:pPr>
        <w:pStyle w:val="BodyText"/>
        <w:numPr>
          <w:ilvl w:val="0"/>
          <w:numId w:val="0"/>
        </w:numPr>
        <w:spacing w:lineRule="auto" w:line="240" w:before="0" w:after="0"/>
        <w:outlineLvl w:val="0"/>
        <w:rPr>
          <w:rFonts w:ascii="Times New Roman" w:hAnsi="Times New Roman" w:cs="Times New Roman"/>
        </w:rPr>
      </w:pPr>
      <w:r>
        <w:rPr>
          <w:rFonts w:cs="Times New Roman" w:ascii="Times New Roman" w:hAnsi="Times New Roman"/>
        </w:rPr>
        <w:t>Management believes that no transaction provisions for specific identified risks within deals should be provided for in November 2000.</w:t>
      </w:r>
    </w:p>
    <w:p>
      <w:pPr>
        <w:pStyle w:val="BodyText"/>
        <w:spacing w:lineRule="auto" w:line="240" w:before="0" w:after="0"/>
        <w:rPr>
          <w:rFonts w:ascii="Times New Roman" w:hAnsi="Times New Roman" w:cs="Times New Roman"/>
        </w:rPr>
      </w:pPr>
      <w:r>
        <w:rPr>
          <w:rFonts w:cs="Times New Roman" w:ascii="Times New Roman" w:hAnsi="Times New Roman"/>
        </w:rPr>
      </w:r>
    </w:p>
    <w:p>
      <w:pPr>
        <w:pStyle w:val="BodyText"/>
        <w:spacing w:lineRule="auto" w:line="240" w:before="0" w:after="0"/>
        <w:rPr>
          <w:rFonts w:ascii="Times New Roman" w:hAnsi="Times New Roman" w:cs="Times New Roman"/>
        </w:rPr>
      </w:pPr>
      <w:r>
        <w:rPr>
          <w:rFonts w:cs="Times New Roman" w:ascii="Times New Roman" w:hAnsi="Times New Roman"/>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numPr>
          <w:ilvl w:val="0"/>
          <w:numId w:val="0"/>
        </w:numPr>
        <w:spacing w:lineRule="auto" w:line="240" w:before="0" w:after="0"/>
        <w:outlineLvl w:val="0"/>
        <w:rPr>
          <w:rFonts w:ascii="Times New Roman" w:hAnsi="Times New Roman" w:cs="Times New Roman"/>
        </w:rPr>
      </w:pPr>
      <w:r>
        <w:rPr>
          <w:rFonts w:cs="Times New Roman" w:ascii="Times New Roman" w:hAnsi="Times New Roman"/>
          <w:b/>
          <w:u w:val="single"/>
        </w:rPr>
        <w:t>4. Monthly Curve &amp; Volumeric Movement</w:t>
      </w:r>
    </w:p>
    <w:p>
      <w:pPr>
        <w:pStyle w:val="BodyText"/>
        <w:spacing w:lineRule="auto" w:line="240" w:before="0" w:after="0"/>
        <w:rPr>
          <w:rFonts w:ascii="Times New Roman" w:hAnsi="Times New Roman" w:cs="Times New Roman"/>
        </w:rPr>
      </w:pPr>
      <w:r>
        <w:rPr>
          <w:rFonts w:cs="Times New Roman" w:ascii="Times New Roman" w:hAnsi="Times New Roman"/>
        </w:rPr>
      </w:r>
    </w:p>
    <w:p>
      <w:pPr>
        <w:pStyle w:val="BodyText"/>
        <w:spacing w:lineRule="auto" w:line="240" w:before="0" w:after="0"/>
        <w:rPr>
          <w:rFonts w:ascii="Times New Roman" w:hAnsi="Times New Roman" w:cs="Times New Roman"/>
        </w:rPr>
      </w:pPr>
      <w:r>
        <w:rPr>
          <w:rFonts w:cs="Times New Roman" w:ascii="Times New Roman" w:hAnsi="Times New Roman"/>
        </w:rPr>
      </w:r>
    </w:p>
    <w:p>
      <w:pPr>
        <w:pStyle w:val="BodyText"/>
        <w:numPr>
          <w:ilvl w:val="0"/>
          <w:numId w:val="4"/>
        </w:numPr>
        <w:spacing w:lineRule="auto" w:line="240" w:before="0" w:after="0"/>
        <w:rPr>
          <w:rFonts w:ascii="Times New Roman" w:hAnsi="Times New Roman" w:cs="Times New Roman"/>
        </w:rPr>
      </w:pPr>
      <w:r>
        <w:rPr>
          <w:rFonts w:cs="Times New Roman" w:ascii="Times New Roman" w:hAnsi="Times New Roman"/>
        </w:rPr>
        <w:t>Baseload prices for</w:t>
      </w:r>
      <w:r>
        <w:rPr>
          <w:rFonts w:cs="Times New Roman" w:ascii="Times New Roman" w:hAnsi="Times New Roman"/>
          <w:b/>
        </w:rPr>
        <w:t xml:space="preserve">  January 2001</w:t>
      </w:r>
      <w:r>
        <w:rPr>
          <w:rFonts w:cs="Times New Roman" w:ascii="Times New Roman" w:hAnsi="Times New Roman"/>
        </w:rPr>
        <w:t xml:space="preserve"> moved </w:t>
      </w:r>
      <w:r>
        <w:rPr>
          <w:rFonts w:cs="Times New Roman" w:ascii="Times New Roman" w:hAnsi="Times New Roman"/>
          <w:b/>
        </w:rPr>
        <w:t>down</w:t>
      </w:r>
      <w:r>
        <w:rPr>
          <w:rFonts w:cs="Times New Roman" w:ascii="Times New Roman" w:hAnsi="Times New Roman"/>
        </w:rPr>
        <w:t xml:space="preserve"> by </w:t>
      </w:r>
      <w:r>
        <w:rPr>
          <w:rFonts w:cs="Times New Roman" w:ascii="Times New Roman" w:hAnsi="Times New Roman"/>
          <w:b/>
        </w:rPr>
        <w:t>£4.96/MWh</w:t>
      </w:r>
      <w:r>
        <w:rPr>
          <w:rFonts w:cs="Times New Roman" w:ascii="Times New Roman" w:hAnsi="Times New Roman"/>
        </w:rPr>
        <w:t xml:space="preserve"> on average</w:t>
      </w:r>
    </w:p>
    <w:p>
      <w:pPr>
        <w:pStyle w:val="BodyText"/>
        <w:numPr>
          <w:ilvl w:val="0"/>
          <w:numId w:val="4"/>
        </w:numPr>
        <w:spacing w:lineRule="auto" w:line="240" w:before="0" w:after="0"/>
        <w:rPr>
          <w:rFonts w:ascii="Times New Roman" w:hAnsi="Times New Roman" w:cs="Times New Roman"/>
          <w:b/>
        </w:rPr>
      </w:pPr>
      <w:r>
        <w:rPr>
          <w:rFonts w:cs="Times New Roman" w:ascii="Times New Roman" w:hAnsi="Times New Roman"/>
          <w:b/>
        </w:rPr>
        <w:t xml:space="preserve">The balance of Winter 2000 moved down by £2.00/MWh on average – peaks fell by £1.87 off peaks  by £2.07 </w:t>
      </w:r>
    </w:p>
    <w:p>
      <w:pPr>
        <w:pStyle w:val="BodyText"/>
        <w:numPr>
          <w:ilvl w:val="0"/>
          <w:numId w:val="4"/>
        </w:numPr>
        <w:spacing w:lineRule="auto" w:line="240" w:before="0" w:after="0"/>
        <w:rPr>
          <w:rFonts w:ascii="Times New Roman" w:hAnsi="Times New Roman" w:cs="Times New Roman"/>
          <w:b/>
        </w:rPr>
      </w:pPr>
      <w:r>
        <w:rPr>
          <w:rFonts w:cs="Times New Roman" w:ascii="Times New Roman" w:hAnsi="Times New Roman"/>
          <w:b/>
        </w:rPr>
        <w:t>Summers for 2001 – 2006  rose marginally  on average by £0.18Wh</w:t>
      </w:r>
    </w:p>
    <w:p>
      <w:pPr>
        <w:pStyle w:val="BodyText"/>
        <w:numPr>
          <w:ilvl w:val="0"/>
          <w:numId w:val="4"/>
        </w:numPr>
        <w:spacing w:lineRule="auto" w:line="240" w:before="0" w:after="0"/>
        <w:rPr>
          <w:rFonts w:ascii="Times New Roman" w:hAnsi="Times New Roman" w:cs="Times New Roman"/>
          <w:b/>
        </w:rPr>
      </w:pPr>
      <w:r>
        <w:rPr>
          <w:rFonts w:cs="Times New Roman" w:ascii="Times New Roman" w:hAnsi="Times New Roman"/>
          <w:b/>
        </w:rPr>
        <w:t xml:space="preserve">Winters for 2001 – 2006 also rose marginally by £0.10/Wh </w:t>
      </w:r>
    </w:p>
    <w:p>
      <w:pPr>
        <w:pStyle w:val="BodyText"/>
        <w:numPr>
          <w:ilvl w:val="0"/>
          <w:numId w:val="4"/>
        </w:numPr>
        <w:spacing w:lineRule="auto" w:line="240" w:before="0" w:after="0"/>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b/>
        </w:rPr>
        <w:t>The  back end shifts from 2007 was unchanged.</w:t>
      </w:r>
    </w:p>
    <w:p>
      <w:pPr>
        <w:pStyle w:val="BodyText"/>
        <w:numPr>
          <w:ilvl w:val="0"/>
          <w:numId w:val="4"/>
        </w:numPr>
        <w:spacing w:lineRule="auto" w:line="240" w:before="0" w:after="0"/>
        <w:rPr>
          <w:rFonts w:ascii="Times New Roman" w:hAnsi="Times New Roman" w:cs="Times New Roman"/>
        </w:rPr>
      </w:pPr>
      <w:r>
        <w:rPr>
          <w:rFonts w:cs="Times New Roman" w:ascii="Times New Roman" w:hAnsi="Times New Roman"/>
        </w:rPr>
        <w:t xml:space="preserve"> </w:t>
      </w:r>
    </w:p>
    <w:p>
      <w:pPr>
        <w:pStyle w:val="MessageHeader"/>
        <w:tabs>
          <w:tab w:val="clear" w:pos="720"/>
          <w:tab w:val="left" w:pos="0" w:leader="none"/>
        </w:tabs>
        <w:ind w:hanging="0" w:start="0" w:end="0"/>
        <w:rPr>
          <w:rFonts w:ascii="Times New Roman" w:hAnsi="Times New Roman" w:cs="Times New Roman"/>
        </w:rPr>
      </w:pPr>
      <w:r>
        <w:rPr>
          <w:rFonts w:cs="Times New Roman" w:ascii="Times New Roman" w:hAnsi="Times New Roman"/>
        </w:rPr>
      </w:r>
    </w:p>
    <w:p>
      <w:pPr>
        <w:pStyle w:val="MessageHeader"/>
        <w:tabs>
          <w:tab w:val="clear" w:pos="720"/>
          <w:tab w:val="left" w:pos="0" w:leader="none"/>
        </w:tabs>
        <w:ind w:hanging="0" w:start="0" w:end="0"/>
        <w:rPr/>
      </w:pPr>
      <w:r>
        <w:rPr>
          <w:rFonts w:cs="Times New Roman" w:ascii="Times New Roman" w:hAnsi="Times New Roman"/>
          <w:b/>
        </w:rPr>
        <w:t>The 3 year October baseload</w:t>
      </w:r>
      <w:r>
        <w:rPr>
          <w:rFonts w:cs="Times New Roman" w:ascii="Times New Roman" w:hAnsi="Times New Roman"/>
        </w:rPr>
        <w:t xml:space="preserve"> price has </w:t>
      </w:r>
      <w:r>
        <w:rPr>
          <w:rFonts w:cs="Times New Roman" w:ascii="Times New Roman" w:hAnsi="Times New Roman"/>
          <w:b/>
        </w:rPr>
        <w:t>increased</w:t>
      </w:r>
      <w:r>
        <w:rPr>
          <w:rFonts w:cs="Times New Roman" w:ascii="Times New Roman" w:hAnsi="Times New Roman"/>
        </w:rPr>
        <w:t xml:space="preserve"> from </w:t>
      </w:r>
      <w:r>
        <w:rPr>
          <w:rFonts w:cs="Times New Roman" w:ascii="Times New Roman" w:hAnsi="Times New Roman"/>
          <w:b/>
        </w:rPr>
        <w:t>£18.22/MWh</w:t>
      </w:r>
      <w:r>
        <w:rPr>
          <w:rFonts w:cs="Times New Roman" w:ascii="Times New Roman" w:hAnsi="Times New Roman"/>
        </w:rPr>
        <w:t xml:space="preserve"> at the end of October </w:t>
      </w:r>
      <w:r>
        <w:rPr>
          <w:rFonts w:cs="Times New Roman" w:ascii="Times New Roman" w:hAnsi="Times New Roman"/>
          <w:b/>
        </w:rPr>
        <w:t>to £19.67/MWh</w:t>
      </w:r>
      <w:r>
        <w:rPr>
          <w:rFonts w:cs="Times New Roman" w:ascii="Times New Roman" w:hAnsi="Times New Roman"/>
        </w:rPr>
        <w:t xml:space="preserve"> at the end of November. The 5  year November base load price has </w:t>
      </w:r>
      <w:r>
        <w:rPr>
          <w:rFonts w:cs="Times New Roman" w:ascii="Times New Roman" w:hAnsi="Times New Roman"/>
          <w:b/>
        </w:rPr>
        <w:t>risen</w:t>
      </w:r>
      <w:r>
        <w:rPr>
          <w:rFonts w:cs="Times New Roman" w:ascii="Times New Roman" w:hAnsi="Times New Roman"/>
        </w:rPr>
        <w:t xml:space="preserve"> from £18.32/MWh </w:t>
      </w:r>
      <w:r>
        <w:rPr>
          <w:rFonts w:cs="Times New Roman" w:ascii="Times New Roman" w:hAnsi="Times New Roman"/>
          <w:b/>
        </w:rPr>
        <w:t xml:space="preserve">to £19.42/MWh. </w:t>
      </w:r>
      <w:r>
        <w:rPr>
          <w:rFonts w:cs="Times New Roman" w:ascii="Times New Roman" w:hAnsi="Times New Roman"/>
        </w:rPr>
        <w:t xml:space="preserve">The 10 year November base load price </w:t>
      </w:r>
      <w:r>
        <w:rPr>
          <w:rFonts w:cs="Times New Roman" w:ascii="Times New Roman" w:hAnsi="Times New Roman"/>
          <w:b/>
        </w:rPr>
        <w:t>has also risen</w:t>
      </w:r>
      <w:r>
        <w:rPr>
          <w:rFonts w:cs="Times New Roman" w:ascii="Times New Roman" w:hAnsi="Times New Roman"/>
        </w:rPr>
        <w:t xml:space="preserve"> from £18.32/MWh at the end of October to </w:t>
      </w:r>
      <w:r>
        <w:rPr>
          <w:rFonts w:cs="Times New Roman" w:ascii="Times New Roman" w:hAnsi="Times New Roman"/>
          <w:b/>
        </w:rPr>
        <w:t>£19.29/MWh</w:t>
      </w:r>
      <w:r>
        <w:rPr>
          <w:rFonts w:cs="Times New Roman" w:ascii="Times New Roman" w:hAnsi="Times New Roman"/>
        </w:rPr>
        <w:t xml:space="preserve"> .</w:t>
      </w:r>
    </w:p>
    <w:p>
      <w:pPr>
        <w:pStyle w:val="BodyText"/>
        <w:spacing w:lineRule="auto" w:line="240" w:before="0" w:after="0"/>
        <w:rPr>
          <w:rFonts w:ascii="Times New Roman" w:hAnsi="Times New Roman" w:cs="Times New Roman"/>
          <w:b/>
          <w:u w:val="single"/>
        </w:rPr>
      </w:pPr>
      <w:r>
        <w:rPr>
          <w:rFonts w:cs="Times New Roman" w:ascii="Times New Roman" w:hAnsi="Times New Roman"/>
        </w:rPr>
        <w:t>The most actively traded periods were: Winter 2000 (Short 1,472,609 MWhrs) Summer 2001 (Short 724,671 MWhrs ) Winter 2001 (Long 530,157 MWhrs)  The additional length taken in 2001 reflected the need to reduce our post NETA short position.  This movement in position for November is reflected below:</w:t>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lang w:val="en-CA" w:eastAsia="en-CA"/>
        </w:rPr>
      </w:pPr>
      <w:r>
        <w:rPr>
          <w:rFonts w:cs="Times New Roman" w:ascii="Times New Roman" w:hAnsi="Times New Roman"/>
          <w:b/>
          <w:u w:val="single"/>
          <w:lang w:val="en-CA" w:eastAsia="en-CA"/>
        </w:rPr>
        <w:drawing>
          <wp:anchor behindDoc="0" distT="0" distB="0" distL="114935" distR="114935" simplePos="0" locked="0" layoutInCell="1" allowOverlap="1" relativeHeight="10">
            <wp:simplePos x="0" y="0"/>
            <wp:positionH relativeFrom="column">
              <wp:posOffset>91440</wp:posOffset>
            </wp:positionH>
            <wp:positionV relativeFrom="paragraph">
              <wp:posOffset>38100</wp:posOffset>
            </wp:positionV>
            <wp:extent cx="6239510" cy="2696210"/>
            <wp:effectExtent l="0" t="0" r="0" b="0"/>
            <wp:wrapNone/>
            <wp:docPr id="9"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descr="" title=""/>
                    <pic:cNvPicPr>
                      <a:picLocks noChangeAspect="1" noChangeArrowheads="1"/>
                    </pic:cNvPicPr>
                  </pic:nvPicPr>
                  <pic:blipFill>
                    <a:blip r:embed="rId13"/>
                    <a:srcRect l="-6" t="-13" r="-6" b="-13"/>
                    <a:stretch>
                      <a:fillRect/>
                    </a:stretch>
                  </pic:blipFill>
                  <pic:spPr bwMode="auto">
                    <a:xfrm>
                      <a:off x="0" y="0"/>
                      <a:ext cx="6239510" cy="2696210"/>
                    </a:xfrm>
                    <a:prstGeom prst="rect">
                      <a:avLst/>
                    </a:prstGeom>
                    <a:noFill/>
                  </pic:spPr>
                </pic:pic>
              </a:graphicData>
            </a:graphic>
          </wp:anchor>
        </w:drawing>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rPr>
      </w:pPr>
      <w:r>
        <w:rPr>
          <w:rFonts w:cs="Times New Roman" w:ascii="Times New Roman" w:hAnsi="Times New Roman"/>
        </w:rPr>
        <w:t>The total position is reflected below:</w:t>
      </w:r>
    </w:p>
    <w:p>
      <w:pPr>
        <w:pStyle w:val="BodyText"/>
        <w:spacing w:lineRule="auto" w:line="240" w:before="0" w:after="0"/>
        <w:rPr>
          <w:rFonts w:ascii="Times New Roman" w:hAnsi="Times New Roman" w:cs="Times New Roman"/>
        </w:rPr>
      </w:pPr>
      <w:r>
        <w:rPr>
          <w:rFonts w:cs="Times New Roman" w:ascii="Times New Roman" w:hAnsi="Times New Roman"/>
        </w:rPr>
      </w:r>
    </w:p>
    <w:p>
      <w:pPr>
        <w:pStyle w:val="BodyText"/>
        <w:spacing w:lineRule="auto" w:line="240" w:before="0" w:after="0"/>
        <w:rPr>
          <w:rFonts w:ascii="Times New Roman" w:hAnsi="Times New Roman" w:cs="Times New Roman"/>
        </w:rPr>
      </w:pPr>
      <w:r>
        <w:rPr>
          <w:rFonts w:cs="Times New Roman" w:ascii="Times New Roman" w:hAnsi="Times New Roman"/>
        </w:rPr>
      </w:r>
    </w:p>
    <w:p>
      <w:pPr>
        <w:pStyle w:val="BodyText"/>
        <w:spacing w:lineRule="auto" w:line="240" w:before="0" w:after="0"/>
        <w:rPr>
          <w:rFonts w:ascii="Times New Roman" w:hAnsi="Times New Roman" w:cs="Times New Roman"/>
          <w:b/>
          <w:u w:val="single"/>
          <w:lang w:val="en-CA" w:eastAsia="en-CA"/>
        </w:rPr>
      </w:pPr>
      <w:r>
        <w:rPr>
          <w:rFonts w:cs="Times New Roman" w:ascii="Times New Roman" w:hAnsi="Times New Roman"/>
          <w:b/>
          <w:u w:val="single"/>
          <w:lang w:val="en-CA" w:eastAsia="en-CA"/>
        </w:rPr>
        <w:drawing>
          <wp:anchor behindDoc="0" distT="0" distB="0" distL="114935" distR="114935" simplePos="0" locked="0" layoutInCell="1" allowOverlap="1" relativeHeight="11">
            <wp:simplePos x="0" y="0"/>
            <wp:positionH relativeFrom="column">
              <wp:posOffset>51435</wp:posOffset>
            </wp:positionH>
            <wp:positionV relativeFrom="paragraph">
              <wp:posOffset>-224790</wp:posOffset>
            </wp:positionV>
            <wp:extent cx="6258560" cy="2924175"/>
            <wp:effectExtent l="0" t="0" r="0" b="0"/>
            <wp:wrapNone/>
            <wp:docPr id="10"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title=""/>
                    <pic:cNvPicPr>
                      <a:picLocks noChangeAspect="1" noChangeArrowheads="1"/>
                    </pic:cNvPicPr>
                  </pic:nvPicPr>
                  <pic:blipFill>
                    <a:blip r:embed="rId14"/>
                    <a:srcRect l="-6" t="-12" r="-6" b="-12"/>
                    <a:stretch>
                      <a:fillRect/>
                    </a:stretch>
                  </pic:blipFill>
                  <pic:spPr bwMode="auto">
                    <a:xfrm>
                      <a:off x="0" y="0"/>
                      <a:ext cx="6258560" cy="2924175"/>
                    </a:xfrm>
                    <a:prstGeom prst="rect">
                      <a:avLst/>
                    </a:prstGeom>
                    <a:noFill/>
                  </pic:spPr>
                </pic:pic>
              </a:graphicData>
            </a:graphic>
          </wp:anchor>
        </w:drawing>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numPr>
          <w:ilvl w:val="0"/>
          <w:numId w:val="0"/>
        </w:numPr>
        <w:spacing w:lineRule="auto" w:line="240" w:before="0" w:after="0"/>
        <w:outlineLvl w:val="0"/>
        <w:rPr>
          <w:rFonts w:ascii="Times New Roman" w:hAnsi="Times New Roman" w:cs="Times New Roman"/>
          <w:b/>
          <w:u w:val="single"/>
        </w:rPr>
      </w:pPr>
      <w:r>
        <w:rPr>
          <w:rFonts w:cs="Times New Roman" w:ascii="Times New Roman" w:hAnsi="Times New Roman"/>
          <w:b/>
          <w:u w:val="single"/>
        </w:rPr>
        <w:t>5. Energy Trends Electricity</w:t>
      </w:r>
    </w:p>
    <w:p>
      <w:pPr>
        <w:pStyle w:val="BodyText"/>
        <w:spacing w:lineRule="auto" w:line="240" w:before="0" w:after="0"/>
        <w:rPr>
          <w:rFonts w:ascii="Times New Roman" w:hAnsi="Times New Roman" w:cs="Times New Roman"/>
          <w:b/>
          <w:u w:val="single"/>
        </w:rPr>
      </w:pPr>
      <w:r>
        <w:rPr>
          <w:rFonts w:cs="Times New Roman" w:ascii="Times New Roman" w:hAnsi="Times New Roman"/>
          <w:b/>
          <w:u w:val="single"/>
        </w:rPr>
      </w:r>
    </w:p>
    <w:p>
      <w:pPr>
        <w:pStyle w:val="BodyText"/>
        <w:spacing w:lineRule="auto" w:line="240"/>
        <w:rPr>
          <w:rFonts w:ascii="Times New Roman" w:hAnsi="Times New Roman" w:cs="Times New Roman"/>
        </w:rPr>
      </w:pPr>
      <w:r>
        <w:rPr>
          <w:rFonts w:cs="Times New Roman" w:ascii="Times New Roman" w:hAnsi="Times New Roman"/>
        </w:rPr>
        <w:t xml:space="preserve">The current MTM of the Energy Trends position as at 30th November was £3,040,433 - October  £(1,098,377) </w:t>
      </w:r>
    </w:p>
    <w:p>
      <w:pPr>
        <w:pStyle w:val="BodyText"/>
        <w:spacing w:lineRule="auto" w:line="24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The profit in the period was due to the reversal of the Climate Change Levy, which was originally factored into the full loaded Energy Trends price. </w:t>
      </w:r>
    </w:p>
    <w:p>
      <w:pPr>
        <w:pStyle w:val="BodyText"/>
        <w:spacing w:lineRule="auto" w:line="240"/>
        <w:rPr>
          <w:rFonts w:ascii="Times New Roman" w:hAnsi="Times New Roman" w:cs="Times New Roman"/>
          <w:b/>
          <w:u w:val="single"/>
        </w:rPr>
      </w:pPr>
      <w:r>
        <w:rPr>
          <w:rFonts w:cs="Times New Roman" w:ascii="Times New Roman" w:hAnsi="Times New Roman"/>
          <w:b/>
          <w:u w:val="single"/>
        </w:rPr>
      </w:r>
    </w:p>
    <w:p>
      <w:pPr>
        <w:pStyle w:val="BodyText"/>
        <w:spacing w:lineRule="auto" w:line="240"/>
        <w:rPr>
          <w:rFonts w:ascii="Times New Roman" w:hAnsi="Times New Roman" w:cs="Times New Roman"/>
          <w:b/>
          <w:u w:val="single"/>
        </w:rPr>
      </w:pPr>
      <w:r>
        <w:rPr>
          <w:rFonts w:cs="Times New Roman" w:ascii="Times New Roman" w:hAnsi="Times New Roman"/>
          <w:b/>
          <w:u w:val="single"/>
        </w:rPr>
      </w:r>
    </w:p>
    <w:p>
      <w:pPr>
        <w:pStyle w:val="BodyText"/>
        <w:numPr>
          <w:ilvl w:val="0"/>
          <w:numId w:val="0"/>
        </w:numPr>
        <w:spacing w:lineRule="auto" w:line="240"/>
        <w:ind w:end="-145"/>
        <w:outlineLvl w:val="0"/>
        <w:rPr>
          <w:rFonts w:ascii="Times New Roman" w:hAnsi="Times New Roman" w:cs="Times New Roman"/>
          <w:b/>
          <w:u w:val="single"/>
        </w:rPr>
      </w:pPr>
      <w:r>
        <w:rPr>
          <w:rFonts w:cs="Times New Roman" w:ascii="Times New Roman" w:hAnsi="Times New Roman"/>
          <w:b/>
          <w:u w:val="single"/>
        </w:rPr>
        <w:t>6. Value at Risk</w:t>
      </w:r>
    </w:p>
    <w:p>
      <w:pPr>
        <w:pStyle w:val="MessageHeader"/>
        <w:tabs>
          <w:tab w:val="clear" w:pos="720"/>
          <w:tab w:val="left" w:pos="0" w:leader="none"/>
        </w:tabs>
        <w:ind w:hanging="0" w:start="0" w:end="0"/>
        <w:rPr/>
      </w:pPr>
      <w:r>
        <w:rPr>
          <w:rFonts w:cs="Times New Roman" w:ascii="Times New Roman" w:hAnsi="Times New Roman"/>
        </w:rPr>
        <w:t>The 1day value at risk at 30</w:t>
      </w:r>
      <w:r>
        <w:rPr>
          <w:rFonts w:cs="Times New Roman" w:ascii="Times New Roman" w:hAnsi="Times New Roman"/>
          <w:vertAlign w:val="superscript"/>
        </w:rPr>
        <w:t>th</w:t>
      </w:r>
      <w:r>
        <w:rPr>
          <w:rFonts w:cs="Times New Roman" w:ascii="Times New Roman" w:hAnsi="Times New Roman"/>
        </w:rPr>
        <w:t xml:space="preserve"> November was £10,397,106</w:t>
      </w:r>
      <w:r>
        <w:rPr>
          <w:rFonts w:cs="Times New Roman" w:ascii="Times New Roman" w:hAnsi="Times New Roman"/>
          <w:b/>
        </w:rPr>
        <w:t xml:space="preserve"> </w:t>
      </w:r>
      <w:r>
        <w:rPr>
          <w:rFonts w:cs="Times New Roman" w:ascii="Times New Roman" w:hAnsi="Times New Roman"/>
        </w:rPr>
        <w:t>using a 5% 1tail confidence interval (October £10,010,752).  No violations occurred in the review period.</w:t>
      </w:r>
    </w:p>
    <w:p>
      <w:pPr>
        <w:pStyle w:val="MessageHeader"/>
        <w:tabs>
          <w:tab w:val="clear" w:pos="720"/>
          <w:tab w:val="left" w:pos="0" w:leader="none"/>
        </w:tabs>
        <w:ind w:hanging="0" w:start="0" w:end="0"/>
        <w:rPr>
          <w:rFonts w:ascii="Times New Roman" w:hAnsi="Times New Roman" w:cs="Times New Roman"/>
          <w:b/>
        </w:rPr>
      </w:pPr>
      <w:r>
        <w:rPr>
          <w:rFonts w:cs="Times New Roman" w:ascii="Times New Roman" w:hAnsi="Times New Roman"/>
          <w:b/>
        </w:rPr>
        <w:t xml:space="preserve"> </w:t>
      </w:r>
    </w:p>
    <w:p>
      <w:pPr>
        <w:pStyle w:val="MessageHeader"/>
        <w:numPr>
          <w:ilvl w:val="0"/>
          <w:numId w:val="0"/>
        </w:numPr>
        <w:tabs>
          <w:tab w:val="clear" w:pos="720"/>
          <w:tab w:val="left" w:pos="0" w:leader="none"/>
        </w:tabs>
        <w:ind w:hanging="0" w:start="0" w:end="0"/>
        <w:outlineLvl w:val="0"/>
        <w:rPr>
          <w:rFonts w:ascii="Times New Roman" w:hAnsi="Times New Roman" w:cs="Times New Roman"/>
          <w:b/>
        </w:rPr>
      </w:pPr>
      <w:r>
        <w:rPr>
          <w:rFonts w:cs="Times New Roman" w:ascii="Times New Roman" w:hAnsi="Times New Roman"/>
          <w:b/>
        </w:rPr>
        <w:t>Appendix 1.</w:t>
      </w:r>
    </w:p>
    <w:p>
      <w:pPr>
        <w:pStyle w:val="BodyText"/>
        <w:numPr>
          <w:ilvl w:val="0"/>
          <w:numId w:val="0"/>
        </w:numPr>
        <w:spacing w:lineRule="auto" w:line="240"/>
        <w:outlineLvl w:val="0"/>
        <w:rPr>
          <w:rFonts w:ascii="Times New Roman" w:hAnsi="Times New Roman" w:cs="Times New Roman"/>
          <w:b/>
        </w:rPr>
      </w:pPr>
      <w:r>
        <w:rPr>
          <w:rFonts w:cs="Times New Roman" w:ascii="Times New Roman" w:hAnsi="Times New Roman"/>
        </w:rPr>
        <w:t>Broker Quotes Comparison</w:t>
      </w:r>
    </w:p>
    <w:p>
      <w:pPr>
        <w:pStyle w:val="BodyText"/>
        <w:numPr>
          <w:ilvl w:val="0"/>
          <w:numId w:val="0"/>
        </w:numPr>
        <w:spacing w:lineRule="auto" w:line="240"/>
        <w:outlineLvl w:val="0"/>
        <w:rPr>
          <w:rFonts w:ascii="Times New Roman" w:hAnsi="Times New Roman" w:cs="Times New Roman"/>
          <w:b/>
        </w:rPr>
      </w:pPr>
      <w:r>
        <w:rPr>
          <w:rFonts w:cs="Times New Roman" w:ascii="Times New Roman" w:hAnsi="Times New Roman"/>
          <w:b/>
        </w:rPr>
        <w:t>Appendix 2.</w:t>
      </w:r>
    </w:p>
    <w:p>
      <w:pPr>
        <w:pStyle w:val="BodyText"/>
        <w:numPr>
          <w:ilvl w:val="0"/>
          <w:numId w:val="0"/>
        </w:numPr>
        <w:spacing w:lineRule="auto" w:line="240"/>
        <w:outlineLvl w:val="0"/>
        <w:rPr>
          <w:rFonts w:ascii="Times New Roman" w:hAnsi="Times New Roman" w:cs="Times New Roman"/>
        </w:rPr>
      </w:pPr>
      <w:r>
        <w:rPr>
          <w:rFonts w:cs="Times New Roman" w:ascii="Times New Roman" w:hAnsi="Times New Roman"/>
        </w:rPr>
        <w:t xml:space="preserve">Curve shift impact and curve movement for PPP </w:t>
      </w:r>
    </w:p>
    <w:p>
      <w:pPr>
        <w:pStyle w:val="BodyText"/>
        <w:numPr>
          <w:ilvl w:val="0"/>
          <w:numId w:val="0"/>
        </w:numPr>
        <w:spacing w:lineRule="auto" w:line="240"/>
        <w:outlineLvl w:val="0"/>
        <w:rPr>
          <w:rFonts w:ascii="Times New Roman" w:hAnsi="Times New Roman" w:cs="Times New Roman"/>
          <w:b/>
        </w:rPr>
      </w:pPr>
      <w:r>
        <w:rPr>
          <w:rFonts w:cs="Times New Roman" w:ascii="Times New Roman" w:hAnsi="Times New Roman"/>
          <w:b/>
        </w:rPr>
        <w:t>Appendix 3.</w:t>
      </w:r>
    </w:p>
    <w:p>
      <w:pPr>
        <w:pStyle w:val="BodyText"/>
        <w:numPr>
          <w:ilvl w:val="0"/>
          <w:numId w:val="0"/>
        </w:numPr>
        <w:spacing w:lineRule="auto" w:line="240"/>
        <w:outlineLvl w:val="0"/>
        <w:rPr>
          <w:rFonts w:ascii="Times New Roman" w:hAnsi="Times New Roman" w:cs="Times New Roman"/>
        </w:rPr>
      </w:pPr>
      <w:r>
        <w:rPr>
          <w:rFonts w:cs="Times New Roman" w:ascii="Times New Roman" w:hAnsi="Times New Roman"/>
        </w:rPr>
        <w:t xml:space="preserve">Curve shift impact and curve movement for LOLP </w:t>
      </w:r>
    </w:p>
    <w:p>
      <w:pPr>
        <w:pStyle w:val="BodyText"/>
        <w:numPr>
          <w:ilvl w:val="0"/>
          <w:numId w:val="0"/>
        </w:numPr>
        <w:spacing w:lineRule="auto" w:line="240"/>
        <w:outlineLvl w:val="0"/>
        <w:rPr>
          <w:rFonts w:ascii="Times New Roman" w:hAnsi="Times New Roman" w:cs="Times New Roman"/>
          <w:b/>
        </w:rPr>
      </w:pPr>
      <w:r>
        <w:rPr>
          <w:rFonts w:cs="Times New Roman" w:ascii="Times New Roman" w:hAnsi="Times New Roman"/>
          <w:b/>
        </w:rPr>
        <w:t>Appendix 4.</w:t>
      </w:r>
    </w:p>
    <w:p>
      <w:pPr>
        <w:pStyle w:val="BodyText"/>
        <w:numPr>
          <w:ilvl w:val="0"/>
          <w:numId w:val="0"/>
        </w:numPr>
        <w:spacing w:lineRule="auto" w:line="240"/>
        <w:outlineLvl w:val="0"/>
        <w:rPr>
          <w:rFonts w:ascii="Times New Roman" w:hAnsi="Times New Roman" w:cs="Times New Roman"/>
        </w:rPr>
      </w:pPr>
      <w:r>
        <w:rPr>
          <w:rFonts w:cs="Times New Roman" w:ascii="Times New Roman" w:hAnsi="Times New Roman"/>
        </w:rPr>
        <w:t xml:space="preserve">Curve shift impact and curve movement for SMP </w:t>
      </w:r>
    </w:p>
    <w:p>
      <w:pPr>
        <w:pStyle w:val="BodyText"/>
        <w:numPr>
          <w:ilvl w:val="0"/>
          <w:numId w:val="0"/>
        </w:numPr>
        <w:spacing w:lineRule="auto" w:line="240"/>
        <w:outlineLvl w:val="0"/>
        <w:rPr>
          <w:rFonts w:ascii="Times New Roman" w:hAnsi="Times New Roman" w:cs="Times New Roman"/>
          <w:b/>
        </w:rPr>
      </w:pPr>
      <w:r>
        <w:rPr>
          <w:rFonts w:cs="Times New Roman" w:ascii="Times New Roman" w:hAnsi="Times New Roman"/>
          <w:b/>
        </w:rPr>
        <w:t>Appendix 5.</w:t>
      </w:r>
    </w:p>
    <w:p>
      <w:pPr>
        <w:pStyle w:val="BodyText"/>
        <w:numPr>
          <w:ilvl w:val="0"/>
          <w:numId w:val="0"/>
        </w:numPr>
        <w:spacing w:lineRule="auto" w:line="240"/>
        <w:outlineLvl w:val="0"/>
        <w:rPr>
          <w:rFonts w:ascii="Times New Roman" w:hAnsi="Times New Roman" w:cs="Times New Roman"/>
        </w:rPr>
      </w:pPr>
      <w:r>
        <w:rPr>
          <w:rFonts w:cs="Times New Roman" w:ascii="Times New Roman" w:hAnsi="Times New Roman"/>
        </w:rPr>
        <w:t xml:space="preserve">Delta Volumes </w:t>
      </w:r>
    </w:p>
    <w:p>
      <w:pPr>
        <w:pStyle w:val="BodyText"/>
        <w:numPr>
          <w:ilvl w:val="0"/>
          <w:numId w:val="0"/>
        </w:numPr>
        <w:spacing w:lineRule="auto" w:line="240"/>
        <w:outlineLvl w:val="0"/>
        <w:rPr>
          <w:rFonts w:ascii="Times New Roman" w:hAnsi="Times New Roman" w:cs="Times New Roman"/>
          <w:b/>
        </w:rPr>
      </w:pPr>
      <w:r>
        <w:rPr>
          <w:rFonts w:cs="Times New Roman" w:ascii="Times New Roman" w:hAnsi="Times New Roman"/>
          <w:b/>
        </w:rPr>
        <w:t>Appendix 6.</w:t>
      </w:r>
    </w:p>
    <w:p>
      <w:pPr>
        <w:pStyle w:val="Normal"/>
        <w:numPr>
          <w:ilvl w:val="0"/>
          <w:numId w:val="0"/>
        </w:numPr>
        <w:outlineLvl w:val="0"/>
        <w:rPr>
          <w:rFonts w:ascii="Times New Roman" w:hAnsi="Times New Roman" w:cs="Times New Roman"/>
        </w:rPr>
      </w:pPr>
      <w:r>
        <w:rPr>
          <w:rFonts w:cs="Times New Roman" w:ascii="Times New Roman" w:hAnsi="Times New Roman"/>
        </w:rPr>
        <w:t>P&amp;L analysis split.</w:t>
      </w:r>
    </w:p>
    <w:p>
      <w:pPr>
        <w:pStyle w:val="Normal"/>
        <w:rPr>
          <w:rFonts w:ascii="Times New Roman" w:hAnsi="Times New Roman" w:cs="Times New Roman"/>
        </w:rPr>
      </w:pPr>
      <w:r>
        <w:rPr>
          <w:rFonts w:cs="Times New Roman" w:ascii="Times New Roman" w:hAnsi="Times New Roman"/>
        </w:rPr>
      </w:r>
    </w:p>
    <w:p>
      <w:pPr>
        <w:pStyle w:val="BodyText"/>
        <w:numPr>
          <w:ilvl w:val="0"/>
          <w:numId w:val="0"/>
        </w:numPr>
        <w:spacing w:lineRule="auto" w:line="240"/>
        <w:outlineLvl w:val="0"/>
        <w:rPr>
          <w:rFonts w:ascii="Times New Roman" w:hAnsi="Times New Roman" w:cs="Times New Roman"/>
          <w:b/>
        </w:rPr>
      </w:pPr>
      <w:r>
        <w:rPr>
          <w:rFonts w:cs="Times New Roman" w:ascii="Times New Roman" w:hAnsi="Times New Roman"/>
          <w:b/>
        </w:rPr>
        <w:t>Appendix 7.</w:t>
      </w:r>
    </w:p>
    <w:p>
      <w:pPr>
        <w:pStyle w:val="Normal"/>
        <w:numPr>
          <w:ilvl w:val="0"/>
          <w:numId w:val="0"/>
        </w:numPr>
        <w:outlineLvl w:val="0"/>
        <w:rPr>
          <w:rFonts w:ascii="Times New Roman" w:hAnsi="Times New Roman" w:cs="Times New Roman"/>
        </w:rPr>
      </w:pPr>
      <w:r>
        <w:rPr>
          <w:rFonts w:cs="Times New Roman" w:ascii="Times New Roman" w:hAnsi="Times New Roman"/>
        </w:rPr>
        <w:t>Peak / Off Peak / Baseload monthly curve shift and P&amp;L analysis.</w:t>
      </w:r>
    </w:p>
    <w:p>
      <w:pPr>
        <w:pStyle w:val="Normal"/>
        <w:rPr>
          <w:rFonts w:ascii="Times New Roman" w:hAnsi="Times New Roman" w:cs="Times New Roman"/>
        </w:rPr>
      </w:pPr>
      <w:r>
        <w:rPr>
          <w:rFonts w:cs="Times New Roman" w:ascii="Times New Roman" w:hAnsi="Times New Roman"/>
        </w:rPr>
      </w:r>
    </w:p>
    <w:p>
      <w:pPr>
        <w:pStyle w:val="Normal"/>
        <w:numPr>
          <w:ilvl w:val="0"/>
          <w:numId w:val="0"/>
        </w:numPr>
        <w:outlineLvl w:val="0"/>
        <w:rPr>
          <w:rFonts w:ascii="Times New Roman" w:hAnsi="Times New Roman" w:cs="Times New Roman"/>
          <w:b/>
        </w:rPr>
      </w:pPr>
      <w:r>
        <w:rPr>
          <w:rFonts w:cs="Times New Roman" w:ascii="Times New Roman" w:hAnsi="Times New Roman"/>
          <w:b/>
        </w:rPr>
        <w:t>Appendix 8.</w:t>
      </w:r>
    </w:p>
    <w:p>
      <w:pPr>
        <w:pStyle w:val="Normal"/>
        <w:rPr>
          <w:rFonts w:ascii="Times New Roman" w:hAnsi="Times New Roman" w:cs="Times New Roman"/>
          <w:b/>
        </w:rPr>
      </w:pPr>
      <w:r>
        <w:rPr>
          <w:rFonts w:cs="Times New Roman" w:ascii="Times New Roman" w:hAnsi="Times New Roman"/>
          <w:b/>
        </w:rPr>
      </w:r>
    </w:p>
    <w:p>
      <w:pPr>
        <w:pStyle w:val="Normal"/>
        <w:numPr>
          <w:ilvl w:val="0"/>
          <w:numId w:val="0"/>
        </w:numPr>
        <w:outlineLvl w:val="0"/>
        <w:rPr/>
      </w:pPr>
      <w:r>
        <w:rPr/>
        <w:t>Graph to show amounts Settled per month and the book Profit for the month.</w:t>
      </w:r>
    </w:p>
    <w:sectPr>
      <w:headerReference w:type="default" r:id="rId15"/>
      <w:footerReference w:type="default" r:id="rId16"/>
      <w:type w:val="nextPage"/>
      <w:pgSz w:orient="landscape" w:w="16838" w:h="11906"/>
      <w:pgMar w:left="1440" w:right="1684" w:gutter="0" w:header="720" w:top="1797" w:footer="720" w:bottom="179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Black">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jc w:val="center"/>
      <w:rPr>
        <w:rFonts w:ascii="Times New Roman" w:hAnsi="Times New Roman" w:cs="Times New Roman"/>
        <w:sz w:val="28"/>
      </w:rPr>
    </w:pPr>
    <w:r>
      <w:rPr>
        <w:rFonts w:cs="Times New Roman" w:ascii="Times New Roman" w:hAnsi="Times New Roman"/>
        <w:sz w:val="28"/>
      </w:rPr>
      <w:t>UK Power – November 2000 Curve Validation and Profit and Loss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283"/>
        </w:tabs>
        <w:ind w:start="1003" w:hanging="283"/>
      </w:p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GB" w:bidi="ar-SA" w:eastAsia="zh-CN"/>
    </w:rPr>
  </w:style>
  <w:style w:type="paragraph" w:styleId="Heading1">
    <w:name w:val="heading 1"/>
    <w:basedOn w:val="HeadingBase"/>
    <w:next w:val="BodyText"/>
    <w:qFormat/>
    <w:pPr>
      <w:numPr>
        <w:ilvl w:val="0"/>
        <w:numId w:val="1"/>
      </w:numPr>
      <w:spacing w:lineRule="atLeast" w:line="200" w:before="0" w:after="220"/>
      <w:outlineLvl w:val="0"/>
    </w:pPr>
    <w:rPr>
      <w:sz w:val="22"/>
    </w:rPr>
  </w:style>
  <w:style w:type="paragraph" w:styleId="Heading2">
    <w:name w:val="heading 2"/>
    <w:basedOn w:val="HeadingBase"/>
    <w:next w:val="BodyText"/>
    <w:qFormat/>
    <w:pPr>
      <w:numPr>
        <w:ilvl w:val="1"/>
        <w:numId w:val="1"/>
      </w:numPr>
      <w:spacing w:lineRule="atLeast" w:line="200"/>
      <w:outlineLvl w:val="1"/>
    </w:pPr>
    <w:rPr/>
  </w:style>
  <w:style w:type="paragraph" w:styleId="Heading3">
    <w:name w:val="heading 3"/>
    <w:basedOn w:val="HeadingBase"/>
    <w:next w:val="BodyText"/>
    <w:qFormat/>
    <w:pPr>
      <w:numPr>
        <w:ilvl w:val="2"/>
        <w:numId w:val="1"/>
      </w:numPr>
      <w:ind w:hanging="0" w:start="360" w:end="0"/>
      <w:outlineLvl w:val="2"/>
    </w:pPr>
    <w:rPr>
      <w:spacing w:val="-5"/>
    </w:rPr>
  </w:style>
  <w:style w:type="paragraph" w:styleId="Heading4">
    <w:name w:val="heading 4"/>
    <w:basedOn w:val="HeadingBase"/>
    <w:next w:val="BodyText"/>
    <w:qFormat/>
    <w:pPr>
      <w:numPr>
        <w:ilvl w:val="3"/>
        <w:numId w:val="1"/>
      </w:numPr>
      <w:ind w:hanging="0" w:start="720" w:end="0"/>
      <w:outlineLvl w:val="3"/>
    </w:pPr>
    <w:rPr>
      <w:spacing w:val="-2"/>
      <w:sz w:val="18"/>
    </w:rPr>
  </w:style>
  <w:style w:type="paragraph" w:styleId="Heading5">
    <w:name w:val="heading 5"/>
    <w:basedOn w:val="HeadingBase"/>
    <w:next w:val="BodyText"/>
    <w:qFormat/>
    <w:pPr>
      <w:numPr>
        <w:ilvl w:val="4"/>
        <w:numId w:val="1"/>
      </w:numPr>
      <w:ind w:hanging="0" w:start="1080" w:end="0"/>
      <w:outlineLvl w:val="4"/>
    </w:pPr>
    <w:rPr>
      <w:spacing w:val="-2"/>
      <w:sz w:val="18"/>
    </w:rPr>
  </w:style>
  <w:style w:type="paragraph" w:styleId="Heading6">
    <w:name w:val="heading 6"/>
    <w:basedOn w:val="HeadingBase"/>
    <w:next w:val="BodyText"/>
    <w:qFormat/>
    <w:pPr>
      <w:numPr>
        <w:ilvl w:val="5"/>
        <w:numId w:val="1"/>
      </w:numPr>
      <w:ind w:hanging="0" w:start="1440" w:end="0"/>
      <w:outlineLvl w:val="5"/>
    </w:pPr>
    <w:rPr>
      <w:spacing w:val="-4"/>
      <w:sz w:val="18"/>
    </w:rPr>
  </w:style>
  <w:style w:type="paragraph" w:styleId="Heading7">
    <w:name w:val="heading 7"/>
    <w:basedOn w:val="HeadingBase"/>
    <w:next w:val="BodyText"/>
    <w:qFormat/>
    <w:pPr>
      <w:numPr>
        <w:ilvl w:val="6"/>
        <w:numId w:val="1"/>
      </w:numPr>
      <w:ind w:hanging="0" w:start="1800" w:end="0"/>
      <w:outlineLvl w:val="6"/>
    </w:pPr>
    <w:rPr>
      <w:spacing w:val="-4"/>
      <w:sz w:val="18"/>
    </w:rPr>
  </w:style>
  <w:style w:type="paragraph" w:styleId="Heading8">
    <w:name w:val="heading 8"/>
    <w:basedOn w:val="HeadingBase"/>
    <w:next w:val="BodyText"/>
    <w:qFormat/>
    <w:pPr>
      <w:numPr>
        <w:ilvl w:val="7"/>
        <w:numId w:val="1"/>
      </w:numPr>
      <w:ind w:hanging="0" w:start="2160" w:end="0"/>
      <w:outlineLvl w:val="7"/>
    </w:pPr>
    <w:rPr>
      <w:spacing w:val="-4"/>
      <w:sz w:val="18"/>
    </w:rPr>
  </w:style>
  <w:style w:type="paragraph" w:styleId="Heading9">
    <w:name w:val="heading 9"/>
    <w:basedOn w:val="HeadingBase"/>
    <w:next w:val="BodyText"/>
    <w:qFormat/>
    <w:pPr>
      <w:numPr>
        <w:ilvl w:val="8"/>
        <w:numId w:val="1"/>
      </w:numPr>
      <w:ind w:hanging="0" w:start="2520" w:end="0"/>
      <w:outlineLvl w:val="8"/>
    </w:pPr>
    <w:rPr>
      <w:spacing w:val="-4"/>
      <w:sz w:val="18"/>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St11z0">
    <w:name w:val="WW8NumSt11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Lead-inEmphasis">
    <w:name w:val="Lead-in Emphasis"/>
    <w:qFormat/>
    <w:rPr>
      <w:rFonts w:ascii="Arial Black" w:hAnsi="Arial Black" w:cs="Arial Black"/>
      <w:sz w:val="18"/>
    </w:rPr>
  </w:style>
  <w:style w:type="character" w:styleId="LineNumber">
    <w:name w:val="line number"/>
    <w:basedOn w:val="DefaultParagraphFont"/>
    <w:rPr>
      <w:sz w:val="18"/>
    </w:rPr>
  </w:style>
  <w:style w:type="character" w:styleId="PageNumber">
    <w:name w:val="page number"/>
    <w:basedOn w:val="DefaultParagraphFont"/>
    <w:rPr>
      <w:sz w:val="18"/>
    </w:rPr>
  </w:style>
  <w:style w:type="character" w:styleId="Superscript">
    <w:name w:val="Superscript"/>
    <w:qFormat/>
    <w:rPr>
      <w:vertAlign w:val="superscript"/>
    </w:rPr>
  </w:style>
  <w:style w:type="character" w:styleId="MessageHeaderLabel">
    <w:name w:val="Message Header Label"/>
    <w:qFormat/>
    <w:rPr>
      <w:rFonts w:ascii="Arial Black" w:hAnsi="Arial Black" w:cs="Arial Black"/>
      <w:spacing w:val="-10"/>
      <w:sz w:val="18"/>
    </w:rPr>
  </w:style>
  <w:style w:type="character" w:styleId="Emphasis">
    <w:name w:val="Emphasis"/>
    <w:qFormat/>
    <w:rPr>
      <w:rFonts w:ascii="Arial Black" w:hAnsi="Arial Black" w:cs="Arial Black"/>
      <w:sz w:val="18"/>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style>
  <w:style w:type="paragraph" w:styleId="List">
    <w:name w:val="List"/>
    <w:basedOn w:val="BodyText"/>
    <w:pPr>
      <w:ind w:hanging="360" w:start="360" w:end="0"/>
    </w:pPr>
    <w:rPr/>
  </w:style>
  <w:style w:type="paragraph" w:styleId="Caption">
    <w:name w:val="caption"/>
    <w:basedOn w:val="Picture"/>
    <w:next w:val="BodyText"/>
    <w:qFormat/>
    <w:pPr>
      <w:spacing w:lineRule="atLeast" w:line="220"/>
    </w:pPr>
    <w:rPr>
      <w:i/>
      <w:sz w:val="18"/>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FootnoteBase">
    <w:name w:val="Footnote Base"/>
    <w:basedOn w:val="BodyText"/>
    <w:qFormat/>
    <w:pPr>
      <w:keepLines/>
      <w:spacing w:lineRule="atLeast" w:line="200"/>
    </w:pPr>
    <w:rPr>
      <w:sz w:val="16"/>
    </w:rPr>
  </w:style>
  <w:style w:type="paragraph" w:styleId="MessageHeader">
    <w:name w:val="Message Header"/>
    <w:basedOn w:val="BodyText"/>
    <w:qFormat/>
    <w:pPr>
      <w:keepLines/>
      <w:tabs>
        <w:tab w:val="left" w:pos="720" w:leader="none"/>
      </w:tabs>
      <w:spacing w:before="0" w:after="120"/>
      <w:ind w:hanging="720" w:start="720" w:end="0"/>
      <w:jc w:val="start"/>
    </w:pPr>
    <w:rPr/>
  </w:style>
  <w:style w:type="paragraph" w:styleId="BlockQuotation">
    <w:name w:val="Block Quotation"/>
    <w:basedOn w:val="BodyText"/>
    <w:qFormat/>
    <w:pPr>
      <w:keepLines/>
      <w:ind w:hanging="0" w:start="720" w:end="720"/>
    </w:pPr>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DocumentLabel">
    <w:name w:val="Document Label"/>
    <w:basedOn w:val="HeadingBase"/>
    <w:next w:val="MessageHeaderFirst"/>
    <w:qFormat/>
    <w:pPr>
      <w:spacing w:lineRule="atLeast" w:line="240" w:before="400" w:after="120"/>
      <w:ind w:hanging="0" w:start="-840" w:end="0"/>
    </w:pPr>
    <w:rPr>
      <w:spacing w:val="0"/>
      <w:sz w:val="108"/>
    </w:rPr>
  </w:style>
  <w:style w:type="paragraph" w:styleId="MessageHeaderFirst">
    <w:name w:val="Message Header First"/>
    <w:basedOn w:val="MessageHeader"/>
    <w:next w:val="MessageHeader"/>
    <w:qFormat/>
    <w:pPr>
      <w:spacing w:before="220" w:after="120"/>
    </w:pPr>
    <w:rPr/>
  </w:style>
  <w:style w:type="paragraph" w:styleId="EndnoteText">
    <w:name w:val="endnote text"/>
    <w:basedOn w:val="FootnoteBase"/>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FootnoteText">
    <w:name w:val="footnote text"/>
    <w:basedOn w:val="FootnoteBase"/>
    <w:pPr/>
    <w:rPr/>
  </w:style>
  <w:style w:type="paragraph" w:styleId="Header">
    <w:name w:val="header"/>
    <w:basedOn w:val="HeaderBase"/>
    <w:pPr>
      <w:spacing w:before="0" w:after="600"/>
    </w:pPr>
    <w:rPr/>
  </w:style>
  <w:style w:type="paragraph" w:styleId="ListBullet">
    <w:name w:val="List Bullet"/>
    <w:basedOn w:val="List"/>
    <w:qFormat/>
    <w:pPr>
      <w:numPr>
        <w:ilvl w:val="0"/>
        <w:numId w:val="7"/>
      </w:numPr>
      <w:ind w:hanging="360" w:start="720" w:end="720"/>
    </w:pPr>
    <w:rPr/>
  </w:style>
  <w:style w:type="paragraph" w:styleId="ListNumber">
    <w:name w:val="List Number"/>
    <w:basedOn w:val="List"/>
    <w:qFormat/>
    <w:pPr>
      <w:numPr>
        <w:ilvl w:val="0"/>
        <w:numId w:val="8"/>
      </w:numPr>
      <w:ind w:hanging="360" w:start="720" w:end="720"/>
    </w:pPr>
    <w:rPr/>
  </w:style>
  <w:style w:type="paragraph" w:styleId="MacroText">
    <w:name w:val="Macro Text"/>
    <w:basedOn w:val="BodyText"/>
    <w:qFormat/>
    <w:pPr>
      <w:spacing w:lineRule="auto" w:line="240"/>
      <w:jc w:val="start"/>
    </w:pPr>
    <w:rPr>
      <w:rFonts w:ascii="Courier New" w:hAnsi="Courier New" w:cs="Courier New"/>
    </w:rPr>
  </w:style>
  <w:style w:type="paragraph" w:styleId="ListNumber5">
    <w:name w:val="List Number 5"/>
    <w:basedOn w:val="ListNumber"/>
    <w:qFormat/>
    <w:pPr>
      <w:numPr>
        <w:ilvl w:val="0"/>
        <w:numId w:val="9"/>
      </w:numPr>
      <w:ind w:hanging="360" w:start="2160" w:end="720"/>
    </w:pPr>
    <w:rPr/>
  </w:style>
  <w:style w:type="paragraph" w:styleId="Date">
    <w:name w:val="Date"/>
    <w:basedOn w:val="BodyText"/>
    <w:qFormat/>
    <w:pPr>
      <w:spacing w:before="0" w:after="0"/>
      <w:jc w:val="start"/>
    </w:pPr>
    <w:rPr/>
  </w:style>
  <w:style w:type="paragraph" w:styleId="ListNumber2">
    <w:name w:val="List Number 2"/>
    <w:basedOn w:val="ListNumber"/>
    <w:qFormat/>
    <w:pPr>
      <w:numPr>
        <w:ilvl w:val="0"/>
        <w:numId w:val="10"/>
      </w:numPr>
      <w:ind w:hanging="360" w:start="1080" w:end="720"/>
    </w:pPr>
    <w:rPr/>
  </w:style>
  <w:style w:type="paragraph" w:styleId="ListNumber3">
    <w:name w:val="List Number 3"/>
    <w:basedOn w:val="ListNumber"/>
    <w:qFormat/>
    <w:pPr>
      <w:numPr>
        <w:ilvl w:val="0"/>
        <w:numId w:val="11"/>
      </w:numPr>
      <w:ind w:hanging="360" w:start="1440" w:end="720"/>
    </w:pPr>
    <w:rPr/>
  </w:style>
  <w:style w:type="paragraph" w:styleId="ListBullet5">
    <w:name w:val="List Bullet 5"/>
    <w:basedOn w:val="List"/>
    <w:pPr>
      <w:ind w:hanging="360" w:start="1800" w:end="0"/>
    </w:pPr>
    <w:rPr/>
  </w:style>
  <w:style w:type="paragraph" w:styleId="ListBullet4">
    <w:name w:val="List Bullet 4"/>
    <w:basedOn w:val="List"/>
    <w:pPr>
      <w:ind w:hanging="360" w:start="1440" w:end="0"/>
    </w:pPr>
    <w:rPr/>
  </w:style>
  <w:style w:type="paragraph" w:styleId="ListBullet3">
    <w:name w:val="List Bullet 3"/>
    <w:basedOn w:val="List"/>
    <w:pPr>
      <w:ind w:hanging="360" w:start="1080" w:end="0"/>
    </w:pPr>
    <w:rPr/>
  </w:style>
  <w:style w:type="paragraph" w:styleId="ListBullet2">
    <w:name w:val="List Bullet 2"/>
    <w:basedOn w:val="List"/>
    <w:pPr>
      <w:ind w:hanging="360" w:start="720" w:end="0"/>
    </w:pPr>
    <w:rPr/>
  </w:style>
  <w:style w:type="paragraph" w:styleId="Closing">
    <w:name w:val="Closing"/>
    <w:basedOn w:val="Normal"/>
    <w:qFormat/>
    <w:pPr>
      <w:keepNext w:val="true"/>
      <w:spacing w:lineRule="atLeast" w:line="220"/>
    </w:pPr>
    <w:rPr/>
  </w:style>
  <w:style w:type="paragraph" w:styleId="CommentText">
    <w:name w:val="Comment Text"/>
    <w:basedOn w:val="FootnoteBase"/>
    <w:qFormat/>
    <w:pPr/>
    <w:rPr/>
  </w:style>
  <w:style w:type="paragraph" w:styleId="BodyText2">
    <w:name w:val="Body Text 2"/>
    <w:basedOn w:val="BodyText"/>
    <w:qFormat/>
    <w:pPr>
      <w:ind w:hanging="0" w:start="360" w:end="0"/>
    </w:pPr>
    <w:rPr/>
  </w:style>
  <w:style w:type="paragraph" w:styleId="NormalIndent">
    <w:name w:val="Normal Indent"/>
    <w:basedOn w:val="Normal"/>
    <w:qFormat/>
    <w:pPr>
      <w:ind w:hanging="0" w:start="720" w:end="0"/>
    </w:pPr>
    <w:rPr/>
  </w:style>
  <w:style w:type="paragraph" w:styleId="ListContinue">
    <w:name w:val="List Continue"/>
    <w:basedOn w:val="List"/>
    <w:qFormat/>
    <w:pPr>
      <w:ind w:hanging="0" w:start="720" w:end="720"/>
    </w:pPr>
    <w:rPr/>
  </w:style>
  <w:style w:type="paragraph" w:styleId="ListContinue2">
    <w:name w:val="List Continue 2"/>
    <w:basedOn w:val="ListContinue"/>
    <w:qFormat/>
    <w:pPr>
      <w:ind w:hanging="0" w:start="1080" w:end="720"/>
    </w:pPr>
    <w:rPr/>
  </w:style>
  <w:style w:type="paragraph" w:styleId="ListContinue3">
    <w:name w:val="List Continue 3"/>
    <w:basedOn w:val="ListContinue"/>
    <w:qFormat/>
    <w:pPr>
      <w:ind w:hanging="0" w:start="1440" w:end="720"/>
    </w:pPr>
    <w:rPr/>
  </w:style>
  <w:style w:type="paragraph" w:styleId="ListContinue4">
    <w:name w:val="List Continue 4"/>
    <w:basedOn w:val="ListContinue"/>
    <w:qFormat/>
    <w:pPr>
      <w:ind w:hanging="0" w:start="1800" w:end="720"/>
    </w:pPr>
    <w:rPr/>
  </w:style>
  <w:style w:type="paragraph" w:styleId="ListContinue5">
    <w:name w:val="List Continue 5"/>
    <w:basedOn w:val="ListContinue"/>
    <w:qFormat/>
    <w:pPr>
      <w:ind w:hanging="0" w:start="2160" w:end="720"/>
    </w:pPr>
    <w:rPr/>
  </w:style>
  <w:style w:type="paragraph" w:styleId="ReturnAddress">
    <w:name w:val="Return Address"/>
    <w:basedOn w:val="Normal"/>
    <w:qFormat/>
    <w:pPr>
      <w:keepLines/>
      <w:tabs>
        <w:tab w:val="clear" w:pos="720"/>
        <w:tab w:val="left" w:pos="2640" w:leader="none"/>
      </w:tabs>
      <w:spacing w:lineRule="atLeast" w:line="200"/>
    </w:pPr>
    <w:rPr>
      <w:spacing w:val="-2"/>
      <w:sz w:val="16"/>
    </w:rPr>
  </w:style>
  <w:style w:type="paragraph" w:styleId="CompanyName">
    <w:name w:val="Company Name"/>
    <w:basedOn w:val="ReturnAddress"/>
    <w:qFormat/>
    <w:pPr>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Enclosure">
    <w:name w:val="Enclosure"/>
    <w:basedOn w:val="BodyText"/>
    <w:next w:val="Normal"/>
    <w:qFormat/>
    <w:pPr>
      <w:keepLines/>
      <w:spacing w:before="220" w:after="220"/>
      <w:jc w:val="start"/>
    </w:pPr>
    <w:rPr/>
  </w:style>
  <w:style w:type="paragraph" w:styleId="ReferenceInitials">
    <w:name w:val="Reference Initials"/>
    <w:basedOn w:val="BodyText"/>
    <w:next w:val="Enclosure"/>
    <w:qFormat/>
    <w:pPr>
      <w:keepNext w:val="true"/>
      <w:keepLines/>
      <w:spacing w:before="0" w:after="0"/>
    </w:pPr>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ReferenceInitials"/>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EnvelopeAddress">
    <w:name w:val="envelope address"/>
    <w:basedOn w:val="Normal"/>
    <w:pPr>
      <w:ind w:hanging="0" w:start="2880" w:end="0"/>
    </w:pPr>
    <w:rPr>
      <w:sz w:val="24"/>
    </w:rPr>
  </w:style>
  <w:style w:type="paragraph" w:styleId="EnvelopeReturn">
    <w:name w:val="envelope return"/>
    <w:basedOn w:val="Normal"/>
    <w:pPr/>
    <w:rPr/>
  </w:style>
  <w:style w:type="paragraph" w:styleId="ListNumber4">
    <w:name w:val="List Number 4"/>
    <w:basedOn w:val="ListNumber"/>
    <w:qFormat/>
    <w:pPr>
      <w:numPr>
        <w:ilvl w:val="0"/>
        <w:numId w:val="12"/>
      </w:numPr>
      <w:ind w:hanging="360" w:start="1800" w:end="720"/>
    </w:pPr>
    <w:rPr/>
  </w:style>
  <w:style w:type="paragraph" w:styleId="ListBullet51">
    <w:name w:val="List Bullet 51"/>
    <w:basedOn w:val="ListBullet"/>
    <w:qFormat/>
    <w:pPr>
      <w:ind w:hanging="360" w:start="2160" w:end="720"/>
    </w:pPr>
    <w:rPr/>
  </w:style>
  <w:style w:type="paragraph" w:styleId="ListBullet21">
    <w:name w:val="List Bullet 21"/>
    <w:basedOn w:val="ListBullet"/>
    <w:qFormat/>
    <w:pPr>
      <w:ind w:hanging="360" w:start="1080" w:end="720"/>
    </w:pPr>
    <w:rPr/>
  </w:style>
  <w:style w:type="paragraph" w:styleId="ListBullet31">
    <w:name w:val="List Bullet 31"/>
    <w:basedOn w:val="ListBullet"/>
    <w:qFormat/>
    <w:pPr>
      <w:ind w:hanging="360" w:start="1440" w:end="720"/>
    </w:pPr>
    <w:rPr/>
  </w:style>
  <w:style w:type="paragraph" w:styleId="ListBullet41">
    <w:name w:val="List Bullet 41"/>
    <w:basedOn w:val="ListBullet"/>
    <w:qFormat/>
    <w:pPr>
      <w:ind w:hanging="360" w:start="1800" w:end="720"/>
    </w:pPr>
    <w:rPr/>
  </w:style>
  <w:style w:type="paragraph" w:styleId="Body">
    <w:name w:val="Body"/>
    <w:basedOn w:val="Normal"/>
    <w:qFormat/>
    <w:pPr>
      <w:ind w:hanging="0" w:start="72" w:end="0"/>
    </w:pPr>
    <w:rPr>
      <w:color w:val="000080"/>
      <w:spacing w:val="0"/>
      <w:lang w:val="en-US"/>
    </w:rPr>
  </w:style>
  <w:style w:type="paragraph" w:styleId="BodyText3">
    <w:name w:val="Body Text 3"/>
    <w:basedOn w:val="Normal"/>
    <w:qFormat/>
    <w:pPr/>
    <w:rPr>
      <w:rFonts w:ascii="Times New Roman" w:hAnsi="Times New Roman" w:cs="Times New Roman"/>
      <w:color w:val="000080"/>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image" Target="media/image6.wmf"/><Relationship Id="rId11" Type="http://schemas.openxmlformats.org/officeDocument/2006/relationships/image" Target="media/image7.wmf"/><Relationship Id="rId12" Type="http://schemas.openxmlformats.org/officeDocument/2006/relationships/image" Target="media/image8.wmf"/><Relationship Id="rId13" Type="http://schemas.openxmlformats.org/officeDocument/2006/relationships/image" Target="media/image9.wmf"/><Relationship Id="rId14" Type="http://schemas.openxmlformats.org/officeDocument/2006/relationships/image" Target="media/image10.wmf"/><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2000-12-11T14:18:00Z</dcterms:created>
  <dc:creator>Unknown</dc:creator>
  <dc:description/>
  <dc:language>en-CA</dc:language>
  <cp:lastModifiedBy>MWELLING</cp:lastModifiedBy>
  <cp:lastPrinted>2000-12-12T16:53:00Z</cp:lastPrinted>
  <dcterms:modified xsi:type="dcterms:W3CDTF">2000-12-12T14:33:00Z</dcterms:modified>
  <cp:revision>21</cp:revision>
  <dc:subject/>
  <dc:title>Helps you design a customized memo</dc:title>
</cp:coreProperties>
</file>