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December 18, 2000</w:t>
      </w:r>
    </w:p>
    <w:p>
      <w:pPr>
        <w:pStyle w:val="Normal"/>
        <w:jc w:val="center"/>
        <w:rPr>
          <w:sz w:val="22"/>
        </w:rPr>
      </w:pPr>
      <w:r>
        <w:rPr>
          <w:sz w:val="22"/>
        </w:rPr>
      </w:r>
    </w:p>
    <w:p>
      <w:pPr>
        <w:pStyle w:val="Normal"/>
        <w:jc w:val="both"/>
        <w:rPr>
          <w:sz w:val="22"/>
        </w:rPr>
      </w:pPr>
      <w:r>
        <w:rPr>
          <w:sz w:val="22"/>
        </w:rPr>
        <w:t>Power Merchants Group</w:t>
      </w:r>
    </w:p>
    <w:p>
      <w:pPr>
        <w:pStyle w:val="Normal"/>
        <w:jc w:val="both"/>
        <w:rPr/>
      </w:pPr>
      <w:r>
        <w:rPr>
          <w:sz w:val="22"/>
        </w:rPr>
        <w:t>40 Wall Street, 38</w:t>
      </w:r>
      <w:r>
        <w:rPr>
          <w:sz w:val="22"/>
          <w:vertAlign w:val="superscript"/>
        </w:rPr>
        <w:t>th</w:t>
      </w:r>
      <w:r>
        <w:rPr>
          <w:sz w:val="22"/>
        </w:rPr>
        <w:t xml:space="preserve"> flr</w:t>
      </w:r>
    </w:p>
    <w:p>
      <w:pPr>
        <w:pStyle w:val="Normal"/>
        <w:jc w:val="both"/>
        <w:rPr>
          <w:sz w:val="22"/>
        </w:rPr>
      </w:pPr>
      <w:r>
        <w:rPr>
          <w:sz w:val="22"/>
        </w:rPr>
        <w:t>New York, NY 10005</w:t>
      </w:r>
    </w:p>
    <w:p>
      <w:pPr>
        <w:pStyle w:val="Normal"/>
        <w:jc w:val="both"/>
        <w:rPr>
          <w:sz w:val="22"/>
        </w:rPr>
      </w:pPr>
      <w:r>
        <w:rPr>
          <w:sz w:val="22"/>
        </w:rPr>
      </w:r>
    </w:p>
    <w:p>
      <w:pPr>
        <w:pStyle w:val="Normal"/>
        <w:jc w:val="both"/>
        <w:rPr>
          <w:sz w:val="22"/>
        </w:rPr>
      </w:pPr>
      <w:r>
        <w:rPr>
          <w:sz w:val="22"/>
        </w:rPr>
        <w:t>Attn: Kevin C. Glynn</w:t>
        <w:tab/>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Power Merchants Group  ("PMG")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PMG’s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PMG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PMG are unable to execute the Definitive Agreements by the Closing Date, unless extended by mutual agreement of the parties, this letter shall be deemed terminated, and neither Enron nor PMG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PMG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PMG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____________</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 day of ____________, 2000.</w:t>
      </w:r>
    </w:p>
    <w:p>
      <w:pPr>
        <w:pStyle w:val="Normal"/>
        <w:jc w:val="both"/>
        <w:rPr>
          <w:sz w:val="22"/>
        </w:rPr>
      </w:pPr>
      <w:r>
        <w:rPr>
          <w:sz w:val="22"/>
        </w:rPr>
      </w:r>
    </w:p>
    <w:p>
      <w:pPr>
        <w:pStyle w:val="Normal"/>
        <w:jc w:val="both"/>
        <w:rPr>
          <w:sz w:val="22"/>
        </w:rPr>
      </w:pPr>
      <w:r>
        <w:rPr>
          <w:sz w:val="22"/>
        </w:rPr>
        <w:t>POWER MERCHANTS GROUP</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jc w:val="both"/>
        <w:rPr>
          <w:sz w:val="22"/>
        </w:rPr>
      </w:pPr>
      <w:r>
        <w:rPr>
          <w:sz w:val="22"/>
        </w:rPr>
        <w:t>Title:</w:t>
        <w:tab/>
      </w:r>
      <w:r>
        <w:rPr>
          <w:sz w:val="22"/>
          <w:u w:val="single"/>
        </w:rPr>
        <w:tab/>
        <w:tab/>
        <w:tab/>
        <w:tab/>
        <w:tab/>
        <w:tab/>
      </w:r>
    </w:p>
    <w:p>
      <w:pPr>
        <w:pStyle w:val="Heading"/>
        <w:jc w:val="start"/>
        <w:rPr>
          <w:sz w:val="22"/>
        </w:rPr>
      </w:pPr>
      <w:r>
        <w:rPr>
          <w:sz w:val="22"/>
        </w:rPr>
      </w:r>
    </w:p>
    <w:p>
      <w:pPr>
        <w:pStyle w:val="Heading"/>
        <w:jc w:val="start"/>
        <w:rPr/>
      </w:pPr>
      <w:r>
        <w:rPr/>
      </w:r>
    </w:p>
    <w:p>
      <w:pPr>
        <w:pStyle w:val="Heading"/>
        <w:jc w:val="start"/>
        <w:rPr/>
      </w:pPr>
      <w:r>
        <w:rPr/>
      </w:r>
    </w:p>
    <w:p>
      <w:pPr>
        <w:pStyle w:val="Heading"/>
        <w:jc w:val="start"/>
        <w:rPr/>
      </w:pPr>
      <w:r>
        <w:rPr/>
      </w:r>
    </w:p>
    <w:p>
      <w:pPr>
        <w:pStyle w:val="Heading"/>
        <w:jc w:val="start"/>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Power Merchants Group, a ___________ ("PMG") is a broker representing certain entities in connection with their transactions for the purchase or sale of energy commodities.  In the proposed transaction, Enron will permit PMG to enter into transactions with Enron through a website for the purchase and sale of energy commodities on behalf of PMG’s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PMG’s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 xml:space="preserve">Enron would issue to PMG, pursuant to a Fee Agreement in form and substance satisfactory to Enron (and containing certain provisions similar to the Password Applications executed by all EnronOnline customers), a Transaction ID that would allow PMG to execute transactions on the website for Specified Products (to be defined, but anticipated to </w:t>
            </w:r>
            <w:ins w:id="2" w:author="lbecker" w:date="2000-12-19T11:49:00Z">
              <w:r>
                <w:rPr>
                  <w:b w:val="false"/>
                  <w:sz w:val="22"/>
                </w:rPr>
                <w:t xml:space="preserve">include </w:t>
              </w:r>
            </w:ins>
            <w:r>
              <w:rPr>
                <w:b w:val="false"/>
                <w:sz w:val="22"/>
              </w:rPr>
              <w:t>NYMEX Natural Gas Swap products listed on EnronOnline).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3" w:author="lbecker" w:date="2000-12-19T11:50:00Z">
              <w:r>
                <w:rPr>
                  <w:b w:val="false"/>
                  <w:sz w:val="22"/>
                </w:rPr>
                <w:delText>Online</w:delText>
              </w:r>
            </w:del>
            <w:r>
              <w:rPr>
                <w:b w:val="false"/>
                <w:sz w:val="22"/>
              </w:rPr>
              <w:t xml:space="preserve"> for a term of one year.  The BETA would grant PMG the ability to execute on the website, for the benefit of specified PMG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PMG, on behalf and for the account of a PMG customer shall occur at the time Enron signifies acceptance of the Brokers offer on the website.  The software application would, upon an execution attempt by PMG on behalf of an PMG customer, check for available credit against the Enron database utilizing PMG customer’s credit availability.  Executions completed by PMG on the website on behalf of an PMG customer would, upon execution, bind the PMG customer to a transaction pursuant to the operative agreement between Enron and the PMG customer.  Upon execution of a transaction on </w:t>
            </w:r>
            <w:ins w:id="4" w:author="lbecker" w:date="2000-12-19T11:51:00Z">
              <w:r>
                <w:rPr>
                  <w:b w:val="false"/>
                  <w:sz w:val="22"/>
                </w:rPr>
                <w:t xml:space="preserve">the </w:t>
              </w:r>
            </w:ins>
            <w:r>
              <w:rPr>
                <w:b w:val="false"/>
                <w:sz w:val="22"/>
              </w:rPr>
              <w:t>website, the software application would identify the counterparty to the website as PMG, as well as the PMG customer.  Executed transactions done on the website by PMG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PMG fails or refuses to confirm a transaction or PMG’s customer fails or refuses to accept the transaction for which PMG has made an execution</w:t>
            </w:r>
            <w:del w:id="5" w:author="lbecker" w:date="2000-12-19T11:51:00Z">
              <w:r>
                <w:rPr>
                  <w:b w:val="false"/>
                  <w:sz w:val="22"/>
                </w:rPr>
                <w:delText>,</w:delText>
              </w:r>
            </w:del>
            <w:r>
              <w:rPr>
                <w:b w:val="false"/>
                <w:sz w:val="22"/>
              </w:rPr>
              <w:t>, PMG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PMG’s obligations with respect to Liquidated Damages for failed assignments, PMG would deposit, in a margin account with Enron or its designated affiliate, letters of credit from a bank acceptable to Enron in an amount to be agreed and subject to adjustment from time to time based on changes in PMG’s credit.  Enron would be able to draw on such letters of credit for Liquidated Damages associated with failed transactions.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6" w:author="lbecker" w:date="2000-12-19T11:52:00Z">
              <w:r>
                <w:rPr>
                  <w:b w:val="false"/>
                  <w:sz w:val="22"/>
                </w:rPr>
                <w:delText xml:space="preserve">license </w:delText>
              </w:r>
            </w:del>
            <w:r>
              <w:rPr>
                <w:b w:val="false"/>
                <w:sz w:val="22"/>
              </w:rPr>
              <w:t>D</w:t>
            </w:r>
            <w:ins w:id="7" w:author="lbecker" w:date="2000-12-19T11:52:00Z">
              <w:r>
                <w:rPr>
                  <w:b w:val="false"/>
                  <w:sz w:val="22"/>
                </w:rPr>
                <w:t xml:space="preserve">efinitive </w:t>
              </w:r>
            </w:ins>
            <w:r>
              <w:rPr>
                <w:b w:val="false"/>
                <w:sz w:val="22"/>
              </w:rPr>
              <w:t>Agreements, PMG would pay Enron a license fee of $100,000 and no brokerage fee or commission will be payable by Enron in connection with any transaction completed by PMG through the website.  Renewal rights and renewal fees are to be negotiated.</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PMG (to be negotiated, but including those included within the Electronic Transactions Agreement routinely entered into between EnronOnline and its customers).  PMG acknowledges that Enron may also require PMG to obtain certain agreements with PMG’s customers with respect to the PMG’s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PMG is not in default under the Definitive Agreements, a pro rata portion of the annual access fee will be refunded to PMG.</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PMG,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PMG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PMG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/mnt/main-storage/datasets/enron-docs/doc/Power_Merchants_Group_LOI.doc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t>DRAFT: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2000-12-19T18:00:00Z</dcterms:created>
  <dc:creator>tmccull</dc:creator>
  <dc:description/>
  <dc:language>en-CA</dc:language>
  <cp:lastModifiedBy>tjones</cp:lastModifiedBy>
  <cp:lastPrinted>2000-12-19T14:50:00Z</cp:lastPrinted>
  <dcterms:modified xsi:type="dcterms:W3CDTF">2000-12-19T18:20:00Z</dcterms:modified>
  <cp:revision>5</cp:revision>
  <dc:subject/>
  <dc:title>ATTACHMENT “A”</dc:title>
</cp:coreProperties>
</file>