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38" w:type="dxa"/>
        <w:jc w:val="start"/>
        <w:tblInd w:w="0" w:type="dxa"/>
        <w:tblLayout w:type="fixed"/>
        <w:tblCellMar>
          <w:top w:w="0" w:type="dxa"/>
          <w:start w:w="108" w:type="dxa"/>
          <w:bottom w:w="0" w:type="dxa"/>
          <w:end w:w="108" w:type="dxa"/>
        </w:tblCellMar>
      </w:tblPr>
      <w:tblGrid>
        <w:gridCol w:w="4698"/>
        <w:gridCol w:w="5940"/>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5940" w:type="dxa"/>
            <w:tcBorders/>
          </w:tcPr>
          <w:p>
            <w:pPr>
              <w:pStyle w:val="Normal"/>
              <w:tabs>
                <w:tab w:val="clear" w:pos="720"/>
                <w:tab w:val="left" w:pos="2412" w:leader="none"/>
              </w:tabs>
              <w:ind w:start="1962" w:end="0"/>
              <w:jc w:val="end"/>
              <w:rPr>
                <w:b/>
                <w:sz w:val="22"/>
              </w:rPr>
            </w:pPr>
            <w:r>
              <w:rPr>
                <w:b/>
              </w:rPr>
              <w:t>Enron Canada Corp.</w:t>
            </w:r>
          </w:p>
          <w:p>
            <w:pPr>
              <w:pStyle w:val="Normal"/>
              <w:tabs>
                <w:tab w:val="clear" w:pos="720"/>
                <w:tab w:val="left" w:pos="2412" w:leader="none"/>
              </w:tabs>
              <w:ind w:start="1962" w:end="0"/>
              <w:jc w:val="end"/>
              <w:rPr>
                <w:sz w:val="22"/>
              </w:rPr>
            </w:pPr>
            <w:r>
              <w:rPr>
                <w:sz w:val="22"/>
              </w:rPr>
              <w:t>3500 Canterra Tower</w:t>
            </w:r>
          </w:p>
          <w:p>
            <w:pPr>
              <w:pStyle w:val="Normal"/>
              <w:tabs>
                <w:tab w:val="clear" w:pos="720"/>
                <w:tab w:val="left" w:pos="2412" w:leader="none"/>
              </w:tabs>
              <w:ind w:start="1962" w:end="0"/>
              <w:jc w:val="end"/>
              <w:rPr>
                <w:sz w:val="22"/>
              </w:rPr>
            </w:pPr>
            <w:r>
              <w:rPr>
                <w:sz w:val="22"/>
              </w:rPr>
              <w:t>400 Third Avenue S.W.</w:t>
            </w:r>
          </w:p>
          <w:p>
            <w:pPr>
              <w:pStyle w:val="Normal"/>
              <w:tabs>
                <w:tab w:val="clear" w:pos="720"/>
                <w:tab w:val="left" w:pos="2412" w:leader="none"/>
              </w:tabs>
              <w:ind w:start="1962" w:end="0"/>
              <w:jc w:val="end"/>
              <w:rPr>
                <w:sz w:val="22"/>
              </w:rPr>
            </w:pPr>
            <w:r>
              <w:rPr>
                <w:sz w:val="22"/>
              </w:rPr>
              <w:t>Calgary, Alberta, Canada</w:t>
            </w:r>
          </w:p>
          <w:p>
            <w:pPr>
              <w:pStyle w:val="Normal"/>
              <w:tabs>
                <w:tab w:val="clear" w:pos="720"/>
                <w:tab w:val="left" w:pos="2412" w:leader="none"/>
              </w:tabs>
              <w:ind w:start="1962" w:end="0"/>
              <w:jc w:val="end"/>
              <w:rPr>
                <w:sz w:val="22"/>
              </w:rPr>
            </w:pPr>
            <w:r>
              <w:rPr>
                <w:sz w:val="22"/>
              </w:rPr>
              <w:t>T2P 4H2</w:t>
            </w:r>
          </w:p>
          <w:p>
            <w:pPr>
              <w:pStyle w:val="Normal"/>
              <w:tabs>
                <w:tab w:val="clear" w:pos="720"/>
                <w:tab w:val="left" w:pos="2412" w:leader="none"/>
              </w:tabs>
              <w:ind w:start="1962" w:end="0"/>
              <w:jc w:val="end"/>
              <w:rPr>
                <w:sz w:val="22"/>
              </w:rPr>
            </w:pPr>
            <w:r>
              <w:rPr>
                <w:sz w:val="22"/>
              </w:rPr>
              <w:t>Phone (403) 974-6700</w:t>
            </w:r>
          </w:p>
          <w:p>
            <w:pPr>
              <w:pStyle w:val="Normal"/>
              <w:tabs>
                <w:tab w:val="clear" w:pos="720"/>
                <w:tab w:val="left" w:pos="2412" w:leader="none"/>
              </w:tabs>
              <w:ind w:start="1962" w:end="0"/>
              <w:jc w:val="end"/>
              <w:rPr>
                <w:sz w:val="22"/>
              </w:rPr>
            </w:pPr>
            <w:r>
              <w:rPr>
                <w:sz w:val="22"/>
              </w:rPr>
              <w:t>Fax (403) 974-6706</w:t>
            </w:r>
          </w:p>
        </w:tc>
      </w:tr>
    </w:tbl>
    <w:p>
      <w:pPr>
        <w:pStyle w:val="Heading1"/>
        <w:ind w:hanging="0" w:start="0"/>
        <w:rPr/>
      </w:pPr>
      <w:r>
        <w:rPr/>
        <w:t>CONFIRMATION</w:t>
      </w:r>
    </w:p>
    <w:p>
      <w:pPr>
        <w:pStyle w:val="Normal"/>
        <w:jc w:val="center"/>
        <w:rPr>
          <w:b/>
        </w:rPr>
      </w:pPr>
      <w:r>
        <w:rPr>
          <w:b/>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pPr>
      <w:r>
        <w:rPr>
          <w:sz w:val="22"/>
        </w:rPr>
        <w:t>To:</w:t>
        <w:tab/>
        <w:tab/>
        <w:tab/>
        <w:tab/>
      </w:r>
      <w:r>
        <w:rPr>
          <w:sz w:val="22"/>
        </w:rPr>
        <w:fldChar w:fldCharType="begin"/>
      </w:r>
      <w:r>
        <w:rPr>
          <w:sz w:val="22"/>
        </w:rPr>
        <w:instrText xml:space="preserve"> MERGEFIELD SwapCounterpartyName </w:instrText>
      </w:r>
      <w:r>
        <w:rPr>
          <w:sz w:val="22"/>
        </w:rPr>
        <w:fldChar w:fldCharType="separate"/>
      </w:r>
      <w:r>
        <w:rPr>
          <w:sz w:val="22"/>
        </w:rPr>
        <w:t>«SwapCounterpartyName»</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Normal"/>
        <w:rPr/>
      </w:pPr>
      <w:r>
        <w:rPr>
          <w:sz w:val="22"/>
        </w:rPr>
        <w:t>From:</w:t>
        <w:tab/>
        <w:tab/>
        <w:tab/>
        <w:tab/>
      </w:r>
      <w:r>
        <w:rPr>
          <w:sz w:val="22"/>
        </w:rPr>
        <w:fldChar w:fldCharType="begin"/>
      </w:r>
      <w:r>
        <w:rPr>
          <w:sz w:val="22"/>
        </w:rPr>
        <w:instrText xml:space="preserve"> MERGEFIELD SwapEnronEntityNameCode </w:instrText>
      </w:r>
      <w:r>
        <w:rPr>
          <w:sz w:val="22"/>
        </w:rPr>
        <w:fldChar w:fldCharType="separate"/>
      </w:r>
      <w:r>
        <w:rPr>
          <w:sz w:val="22"/>
        </w:rPr>
        <w:t>«SwapEnronEntityName»</w:t>
      </w:r>
      <w:r>
        <w:rPr>
          <w:sz w:val="22"/>
        </w:rPr>
        <w:fldChar w:fldCharType="end"/>
      </w:r>
      <w:r>
        <w:rPr>
          <w:sz w:val="22"/>
        </w:rPr>
        <w:t xml:space="preserve"> (“ECC”)</w:t>
      </w:r>
    </w:p>
    <w:p>
      <w:pPr>
        <w:pStyle w:val="Normal"/>
        <w:rPr>
          <w:sz w:val="22"/>
        </w:rPr>
      </w:pPr>
      <w:r>
        <w:rPr>
          <w:sz w:val="22"/>
        </w:rPr>
        <w:t>Re:</w:t>
        <w:tab/>
        <w:tab/>
        <w:tab/>
        <w:tab/>
        <w:t xml:space="preserve">Commodity Swap Deal No.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rPr>
          <w:sz w:val="22"/>
        </w:rPr>
      </w:pPr>
      <w:r>
        <w:rPr>
          <w:sz w:val="22"/>
        </w:rPr>
      </w:r>
    </w:p>
    <w:p>
      <w:pPr>
        <w:pStyle w:val="Normal"/>
        <w:jc w:val="center"/>
        <w:rPr>
          <w:color w:val="000000"/>
          <w:sz w:val="22"/>
        </w:rPr>
      </w:pPr>
      <w:r>
        <w:rPr>
          <w:b/>
          <w:color w:val="000000"/>
          <w:sz w:val="22"/>
        </w:rPr>
        <w:fldChar w:fldCharType="begin"/>
      </w:r>
      <w:r>
        <w:rPr>
          <w:sz w:val="22"/>
          <w:b/>
          <w:color w:val="000000"/>
        </w:rPr>
        <w:instrText xml:space="preserve"> MERGEFIELD DealNumber </w:instrText>
      </w:r>
      <w:r>
        <w:rPr>
          <w:sz w:val="22"/>
          <w:b/>
          <w:color w:val="000000"/>
        </w:rPr>
        <w:fldChar w:fldCharType="separate"/>
      </w:r>
      <w:r>
        <w:rPr>
          <w:sz w:val="22"/>
          <w:b/>
          <w:color w:val="000000"/>
        </w:rPr>
        <w:t>«EOLID»</w:t>
      </w:r>
      <w:r>
        <w:rPr>
          <w:sz w:val="22"/>
          <w:b/>
          <w:color w:val="000000"/>
        </w:rPr>
        <w:fldChar w:fldCharType="end"/>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2"/>
        </w:rPr>
        <w:tab/>
        <w:t xml:space="preserve">Reference is made to the Master Agreement dated as of </w:t>
      </w:r>
      <w:r>
        <w:rPr>
          <w:sz w:val="22"/>
        </w:rPr>
        <w:fldChar w:fldCharType="begin"/>
      </w:r>
      <w:r>
        <w:rPr>
          <w:sz w:val="22"/>
        </w:rPr>
        <w:instrText xml:space="preserve"> MERGEFIELD FinancialMasterDate </w:instrText>
      </w:r>
      <w:r>
        <w:rPr>
          <w:sz w:val="22"/>
        </w:rPr>
        <w:fldChar w:fldCharType="separate"/>
      </w:r>
      <w:r>
        <w:rPr>
          <w:sz w:val="22"/>
        </w:rPr>
        <w:t>«FinancialMasterDate»</w:t>
      </w:r>
      <w:r>
        <w:rPr>
          <w:sz w:val="22"/>
        </w:rPr>
        <w:fldChar w:fldCharType="end"/>
      </w:r>
      <w:r>
        <w:rPr>
          <w:sz w:val="22"/>
        </w:rPr>
        <w:t xml:space="preserve"> (the "Agreement") between </w:t>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("Counterparty") and </w:t>
      </w:r>
      <w:r>
        <w:rPr>
          <w:sz w:val="22"/>
        </w:rPr>
        <w:fldChar w:fldCharType="begin"/>
      </w:r>
      <w:r>
        <w:rPr>
          <w:sz w:val="22"/>
        </w:rPr>
        <w:instrText xml:space="preserve"> MERGEFIELD EnronEntityNameCode </w:instrText>
      </w:r>
      <w:r>
        <w:rPr>
          <w:sz w:val="22"/>
        </w:rPr>
        <w:fldChar w:fldCharType="separate"/>
      </w:r>
      <w:r>
        <w:rPr>
          <w:sz w:val="22"/>
        </w:rPr>
        <w:t>«EnronEntityName»</w:t>
      </w:r>
      <w:r>
        <w:rPr>
          <w:sz w:val="22"/>
        </w:rPr>
        <w:fldChar w:fldCharType="end"/>
      </w:r>
      <w:r>
        <w:rPr>
          <w:sz w:val="22"/>
        </w:rPr>
        <w:t xml:space="preserve"> (“ECC”), pursuant to which this Confirmation is delivered and to which the Transaction contemplated herein is subject.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2"/>
        </w:rPr>
        <w:tab/>
        <w:t xml:space="preserve">This is a confirmation of the following Transaction entered into on </w:t>
      </w:r>
      <w:r>
        <w:rPr>
          <w:i/>
          <w:sz w:val="22"/>
        </w:rPr>
        <w:fldChar w:fldCharType="begin"/>
      </w:r>
      <w:r>
        <w:rPr>
          <w:sz w:val="22"/>
          <w:i/>
        </w:rPr>
        <w:instrText xml:space="preserve"> MERGEFIELD DealDate </w:instrText>
      </w:r>
      <w:r>
        <w:rPr>
          <w:sz w:val="22"/>
          <w:i/>
        </w:rPr>
        <w:fldChar w:fldCharType="separate"/>
      </w:r>
      <w:r>
        <w:rPr>
          <w:sz w:val="22"/>
          <w:i/>
        </w:rPr>
        <w:t>«DealDate»</w:t>
      </w:r>
      <w:r>
        <w:rPr>
          <w:sz w:val="22"/>
          <w:i/>
        </w:rPr>
        <w:fldChar w:fldCharType="end"/>
      </w:r>
      <w:r>
        <w:rPr>
          <w:i/>
          <w:sz w:val="22"/>
        </w:rPr>
        <w:t xml:space="preserve"> </w:t>
      </w:r>
      <w:r>
        <w:rPr>
          <w:sz w:val="22"/>
        </w:rPr>
        <w:t>between</w:t>
      </w:r>
      <w:r>
        <w:rPr>
          <w:i/>
          <w:sz w:val="22"/>
        </w:rPr>
        <w:t xml:space="preserve"> </w:t>
      </w:r>
      <w:r>
        <w:rPr>
          <w:sz w:val="22"/>
        </w:rPr>
        <w:t>the parties:</w:t>
      </w:r>
    </w:p>
    <w:p>
      <w:pPr>
        <w:pStyle w:val="Normal"/>
        <w:rPr>
          <w:sz w:val="22"/>
        </w:rPr>
      </w:pPr>
      <w:r>
        <w:rPr>
          <w:sz w:val="22"/>
        </w:rPr>
      </w:r>
    </w:p>
    <w:p>
      <w:pPr>
        <w:pStyle w:val="Normal"/>
        <w:rPr>
          <w:sz w:val="22"/>
        </w:rPr>
      </w:pPr>
      <w:r>
        <w:rPr>
          <w:b/>
          <w:sz w:val="22"/>
        </w:rPr>
        <w:t>General Terms:</w:t>
      </w:r>
    </w:p>
    <w:p>
      <w:pPr>
        <w:pStyle w:val="Normal"/>
        <w:rPr>
          <w:sz w:val="22"/>
        </w:rPr>
      </w:pPr>
      <w:r>
        <w:rPr>
          <w:sz w:val="22"/>
        </w:rPr>
        <w:t xml:space="preserve"> </w:t>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rPr>
                <w:sz w:val="22"/>
              </w:rPr>
            </w:pPr>
            <w:r>
              <w:rPr>
                <w:sz w:val="22"/>
              </w:rPr>
              <w:tab/>
              <w:t>Notional Quantity per</w:t>
            </w:r>
          </w:p>
          <w:p>
            <w:pPr>
              <w:pStyle w:val="Normal"/>
              <w:rPr>
                <w:sz w:val="22"/>
              </w:rPr>
            </w:pPr>
            <w:r>
              <w:rPr>
                <w:sz w:val="22"/>
              </w:rPr>
              <w:t xml:space="preserve">             </w:t>
            </w:r>
            <w:r>
              <w:rPr>
                <w:sz w:val="22"/>
              </w:rPr>
              <w:t>Calculation Period:</w:t>
            </w:r>
          </w:p>
        </w:tc>
        <w:tc>
          <w:tcPr>
            <w:tcW w:w="5238" w:type="dxa"/>
            <w:tcBorders/>
          </w:tcPr>
          <w:p>
            <w:pPr>
              <w:pStyle w:val="Normal"/>
              <w:snapToGrid w:val="false"/>
              <w:rPr>
                <w:sz w:val="22"/>
              </w:rPr>
            </w:pPr>
            <w:r>
              <w:rPr>
                <w:sz w:val="22"/>
              </w:rPr>
            </w:r>
          </w:p>
          <w:p>
            <w:pPr>
              <w:pStyle w:val="Normal"/>
              <w:rPr/>
            </w:pPr>
            <w:r>
              <w:rPr>
                <w:sz w:val="22"/>
              </w:rPr>
              <w:fldChar w:fldCharType="begin"/>
            </w:r>
            <w:r>
              <w:rPr>
                <w:sz w:val="22"/>
              </w:rPr>
              <w:instrText xml:space="preserve"> MERGEFIELD QuantityPerHour </w:instrText>
            </w:r>
            <w:r>
              <w:rPr>
                <w:sz w:val="22"/>
              </w:rPr>
              <w:fldChar w:fldCharType="separate"/>
            </w:r>
            <w:r>
              <w:rPr>
                <w:sz w:val="22"/>
              </w:rPr>
              <w:t>«QuantityPerHour»</w:t>
            </w:r>
            <w:r>
              <w:rPr>
                <w:sz w:val="22"/>
              </w:rPr>
              <w:fldChar w:fldCharType="end"/>
            </w:r>
            <w:r>
              <w:rPr>
                <w:sz w:val="22"/>
              </w:rPr>
              <w:t xml:space="preserve"> </w:t>
            </w:r>
            <w:r>
              <w:rPr>
                <w:sz w:val="22"/>
              </w:rPr>
              <w:t>MW</w:t>
            </w:r>
          </w:p>
        </w:tc>
      </w:tr>
    </w:tbl>
    <w:p>
      <w:pPr>
        <w:pStyle w:val="Normal"/>
        <w:rPr>
          <w:sz w:val="22"/>
        </w:rPr>
      </w:pPr>
      <w:r>
        <w:rPr>
          <w:sz w:val="22"/>
        </w:rPr>
      </w:r>
    </w:p>
    <w:p>
      <w:pPr>
        <w:pStyle w:val="Normal"/>
        <w:ind w:firstLine="720" w:end="0"/>
        <w:rPr>
          <w:sz w:val="22"/>
        </w:rPr>
      </w:pPr>
      <w:r>
        <w:rPr>
          <w:sz w:val="22"/>
        </w:rPr>
        <w:t>Commodity:</w:t>
        <w:tab/>
        <w:tab/>
        <w:tab/>
        <w:tab/>
        <w:t>Electricity</w:t>
      </w:r>
    </w:p>
    <w:p>
      <w:pPr>
        <w:pStyle w:val="Normal"/>
        <w:rPr>
          <w:sz w:val="22"/>
        </w:rPr>
      </w:pPr>
      <w:r>
        <w:rPr>
          <w:sz w:val="22"/>
        </w:rPr>
      </w:r>
    </w:p>
    <w:p>
      <w:pPr>
        <w:pStyle w:val="Normal"/>
        <w:rPr>
          <w:sz w:val="22"/>
        </w:rPr>
      </w:pPr>
      <w:r>
        <w:rPr>
          <w:sz w:val="22"/>
        </w:rPr>
        <w:tab/>
        <w:t>Commodity Unit:</w:t>
        <w:tab/>
        <w:tab/>
        <w:tab/>
        <w:t>MWh (Megawatt hours)</w:t>
      </w:r>
    </w:p>
    <w:p>
      <w:pPr>
        <w:pStyle w:val="Normal"/>
        <w:rPr>
          <w:sz w:val="22"/>
        </w:rPr>
      </w:pPr>
      <w:r>
        <w:rPr>
          <w:sz w:val="22"/>
        </w:rPr>
      </w:r>
    </w:p>
    <w:p>
      <w:pPr>
        <w:pStyle w:val="Normal"/>
        <w:rPr>
          <w:sz w:val="22"/>
        </w:rPr>
      </w:pPr>
      <w:r>
        <w:rPr>
          <w:sz w:val="22"/>
        </w:rPr>
        <w:tab/>
        <w:t>Effective Date:</w:t>
        <w:tab/>
        <w:tab/>
        <w:tab/>
        <w:tab/>
      </w:r>
      <w:r>
        <w:rPr>
          <w:sz w:val="22"/>
        </w:rPr>
        <w:fldChar w:fldCharType="begin"/>
      </w:r>
      <w:r>
        <w:rPr>
          <w:sz w:val="22"/>
        </w:rPr>
        <w:instrText xml:space="preserve"> MERGEFIELD TransStartDate </w:instrText>
      </w:r>
      <w:r>
        <w:rPr>
          <w:sz w:val="22"/>
        </w:rPr>
        <w:fldChar w:fldCharType="separate"/>
      </w:r>
      <w:r>
        <w:rPr>
          <w:sz w:val="22"/>
        </w:rPr>
        <w:t>«TransStartDate»</w:t>
      </w:r>
      <w:r>
        <w:rPr>
          <w:sz w:val="22"/>
        </w:rPr>
        <w:fldChar w:fldCharType="end"/>
      </w:r>
    </w:p>
    <w:p>
      <w:pPr>
        <w:pStyle w:val="Normal"/>
        <w:rPr>
          <w:sz w:val="22"/>
        </w:rPr>
      </w:pPr>
      <w:r>
        <w:rPr>
          <w:sz w:val="22"/>
        </w:rPr>
      </w:r>
    </w:p>
    <w:p>
      <w:pPr>
        <w:pStyle w:val="Normal"/>
        <w:rPr/>
      </w:pPr>
      <w:r>
        <w:rPr>
          <w:sz w:val="22"/>
        </w:rPr>
        <w:tab/>
        <w:t>Termination Date:</w:t>
        <w:tab/>
        <w:tab/>
        <w:tab/>
      </w:r>
      <w:r>
        <w:rPr>
          <w:sz w:val="22"/>
        </w:rPr>
        <w:fldChar w:fldCharType="begin"/>
      </w:r>
      <w:r>
        <w:rPr>
          <w:sz w:val="22"/>
        </w:rPr>
        <w:instrText xml:space="preserve"> MERGEFIELD TransStopDate </w:instrText>
      </w:r>
      <w:r>
        <w:rPr>
          <w:sz w:val="22"/>
        </w:rPr>
        <w:fldChar w:fldCharType="separate"/>
      </w:r>
      <w:r>
        <w:rPr>
          <w:sz w:val="22"/>
        </w:rPr>
        <w:t>«TransStopDate»</w:t>
      </w:r>
      <w:r>
        <w:rPr>
          <w:sz w:val="22"/>
        </w:rPr>
        <w:fldChar w:fldCharType="end"/>
      </w:r>
      <w:r>
        <w:rPr>
          <w:sz w:val="22"/>
        </w:rPr>
        <w:tab/>
      </w:r>
    </w:p>
    <w:p>
      <w:pPr>
        <w:pStyle w:val="Normal"/>
        <w:rPr>
          <w:sz w:val="22"/>
        </w:rPr>
      </w:pPr>
      <w:r>
        <w:rPr>
          <w:sz w:val="22"/>
        </w:rPr>
      </w:r>
    </w:p>
    <w:tbl>
      <w:tblPr>
        <w:tblW w:w="10638" w:type="dxa"/>
        <w:jc w:val="start"/>
        <w:tblInd w:w="0" w:type="dxa"/>
        <w:tblLayout w:type="fixed"/>
        <w:tblCellMar>
          <w:top w:w="0" w:type="dxa"/>
          <w:start w:w="108" w:type="dxa"/>
          <w:bottom w:w="0" w:type="dxa"/>
          <w:end w:w="108" w:type="dxa"/>
        </w:tblCellMar>
      </w:tblPr>
      <w:tblGrid>
        <w:gridCol w:w="4338"/>
        <w:gridCol w:w="6300"/>
      </w:tblGrid>
      <w:tr>
        <w:trPr/>
        <w:tc>
          <w:tcPr>
            <w:tcW w:w="4338" w:type="dxa"/>
            <w:tcBorders/>
          </w:tcPr>
          <w:p>
            <w:pPr>
              <w:pStyle w:val="Normal"/>
              <w:rPr>
                <w:sz w:val="22"/>
              </w:rPr>
            </w:pPr>
            <w:r>
              <w:rPr>
                <w:sz w:val="22"/>
              </w:rPr>
              <w:tab/>
              <w:t>Determination Period(s):</w:t>
            </w:r>
          </w:p>
        </w:tc>
        <w:tc>
          <w:tcPr>
            <w:tcW w:w="6300" w:type="dxa"/>
            <w:tcBorders/>
          </w:tcPr>
          <w:p>
            <w:pPr>
              <w:pStyle w:val="Normal"/>
              <w:ind w:start="-18" w:end="0"/>
              <w:jc w:val="both"/>
              <w:rPr>
                <w:sz w:val="22"/>
              </w:rPr>
            </w:pPr>
            <w:r>
              <w:rPr>
                <w:sz w:val="22"/>
              </w:rPr>
              <w:t xml:space="preserve">Each hour of each calendar day from and including HE 01:00 (MPT) </w:t>
            </w:r>
            <w:r>
              <w:rPr>
                <w:sz w:val="22"/>
              </w:rPr>
              <w:fldChar w:fldCharType="begin"/>
            </w:r>
            <w:r>
              <w:rPr>
                <w:sz w:val="22"/>
              </w:rPr>
              <w:instrText xml:space="preserve"> MERGEFIELD TransStartDate </w:instrText>
            </w:r>
            <w:r>
              <w:rPr>
                <w:sz w:val="22"/>
              </w:rPr>
              <w:fldChar w:fldCharType="separate"/>
            </w:r>
            <w:r>
              <w:rPr>
                <w:sz w:val="22"/>
              </w:rPr>
              <w:t>«TransStartDate»</w:t>
            </w:r>
            <w:r>
              <w:rPr>
                <w:sz w:val="22"/>
              </w:rPr>
              <w:fldChar w:fldCharType="end"/>
            </w:r>
            <w:r>
              <w:rPr>
                <w:sz w:val="22"/>
              </w:rPr>
              <w:t xml:space="preserve"> to and including HE 24:00 (MPT) </w:t>
            </w:r>
            <w:r>
              <w:rPr>
                <w:sz w:val="22"/>
              </w:rPr>
              <w:fldChar w:fldCharType="begin"/>
            </w:r>
            <w:r>
              <w:rPr>
                <w:sz w:val="22"/>
              </w:rPr>
              <w:instrText xml:space="preserve"> MERGEFIELD TransStopDate </w:instrText>
            </w:r>
            <w:r>
              <w:rPr>
                <w:sz w:val="22"/>
              </w:rPr>
              <w:fldChar w:fldCharType="separate"/>
            </w:r>
            <w:r>
              <w:rPr>
                <w:sz w:val="22"/>
              </w:rPr>
              <w:t>«TransStopDate»</w:t>
            </w:r>
            <w:r>
              <w:rPr>
                <w:sz w:val="22"/>
              </w:rPr>
              <w:fldChar w:fldCharType="end"/>
            </w:r>
          </w:p>
        </w:tc>
      </w:tr>
      <w:tr>
        <w:trPr/>
        <w:tc>
          <w:tcPr>
            <w:tcW w:w="4338" w:type="dxa"/>
            <w:tcBorders/>
          </w:tcPr>
          <w:p>
            <w:pPr>
              <w:pStyle w:val="Normal"/>
              <w:snapToGrid w:val="false"/>
              <w:rPr>
                <w:sz w:val="22"/>
              </w:rPr>
            </w:pPr>
            <w:r>
              <w:rPr>
                <w:sz w:val="22"/>
              </w:rPr>
            </w:r>
          </w:p>
        </w:tc>
        <w:tc>
          <w:tcPr>
            <w:tcW w:w="6300" w:type="dxa"/>
            <w:tcBorders/>
          </w:tcPr>
          <w:p>
            <w:pPr>
              <w:pStyle w:val="Normal"/>
              <w:snapToGrid w:val="false"/>
              <w:rPr>
                <w:sz w:val="22"/>
              </w:rPr>
            </w:pPr>
            <w:r>
              <w:rPr>
                <w:sz w:val="22"/>
              </w:rPr>
            </w:r>
          </w:p>
        </w:tc>
      </w:tr>
      <w:tr>
        <w:trPr/>
        <w:tc>
          <w:tcPr>
            <w:tcW w:w="4338" w:type="dxa"/>
            <w:tcBorders/>
          </w:tcPr>
          <w:p>
            <w:pPr>
              <w:pStyle w:val="Normal"/>
              <w:rPr>
                <w:sz w:val="22"/>
              </w:rPr>
            </w:pPr>
            <w:r>
              <w:rPr>
                <w:sz w:val="22"/>
              </w:rPr>
              <w:tab/>
              <w:t>Payment Date(s):</w:t>
            </w:r>
          </w:p>
        </w:tc>
        <w:tc>
          <w:tcPr>
            <w:tcW w:w="6300" w:type="dxa"/>
            <w:tcBorders/>
          </w:tcPr>
          <w:p>
            <w:pPr>
              <w:pStyle w:val="Normal"/>
              <w:ind w:firstLine="18" w:start="-18" w:end="90"/>
              <w:jc w:val="both"/>
              <w:rPr/>
            </w:pPr>
            <w:r>
              <w:rPr>
                <w:sz w:val="22"/>
              </w:rPr>
              <w:t>For each Calculation Period, the fifth (5</w:t>
            </w:r>
            <w:r>
              <w:rPr>
                <w:sz w:val="22"/>
                <w:vertAlign w:val="superscript"/>
              </w:rPr>
              <w:t>th</w:t>
            </w:r>
            <w:r>
              <w:rPr>
                <w:sz w:val="22"/>
              </w:rPr>
              <w:t>) Business Day following the last calendar day of the calendar month within which such Calculation Period occurs</w:t>
            </w:r>
          </w:p>
          <w:p>
            <w:pPr>
              <w:pStyle w:val="Normal"/>
              <w:ind w:firstLine="18" w:start="-108" w:end="0"/>
              <w:rPr>
                <w:sz w:val="22"/>
              </w:rPr>
            </w:pPr>
            <w:r>
              <w:rPr>
                <w:sz w:val="22"/>
              </w:rPr>
            </w:r>
          </w:p>
        </w:tc>
      </w:tr>
    </w:tbl>
    <w:p>
      <w:pPr>
        <w:pStyle w:val="Normal"/>
        <w:ind w:end="-1080"/>
        <w:rPr>
          <w:b/>
          <w:sz w:val="22"/>
        </w:rPr>
      </w:pPr>
      <w:r>
        <w:rPr>
          <w:b/>
          <w:sz w:val="22"/>
        </w:rPr>
        <w:t>Fixed Amount Details:</w:t>
        <w:tab/>
        <w:tab/>
        <w:tab/>
      </w:r>
    </w:p>
    <w:p>
      <w:pPr>
        <w:pStyle w:val="Normal"/>
        <w:ind w:end="-1080"/>
        <w:rPr>
          <w:b/>
          <w:sz w:val="22"/>
        </w:rPr>
      </w:pPr>
      <w:r>
        <w:rPr>
          <w:b/>
          <w:sz w:val="22"/>
        </w:rPr>
      </w:r>
    </w:p>
    <w:p>
      <w:pPr>
        <w:pStyle w:val="Normal"/>
        <w:ind w:end="-1080"/>
        <w:rPr>
          <w:sz w:val="22"/>
        </w:rPr>
      </w:pPr>
      <w:r>
        <w:rPr>
          <w:sz w:val="22"/>
        </w:rPr>
        <w:t xml:space="preserve">            </w:t>
      </w:r>
      <w:r>
        <w:rPr>
          <w:sz w:val="22"/>
        </w:rPr>
        <w:t>Fixed Price Payor:</w:t>
        <w:tab/>
        <w:tab/>
        <w:tab/>
      </w:r>
      <w:r>
        <w:rPr>
          <w:sz w:val="22"/>
        </w:rPr>
        <w:fldChar w:fldCharType="begin"/>
      </w:r>
      <w:r>
        <w:rPr>
          <w:sz w:val="22"/>
        </w:rPr>
        <w:instrText xml:space="preserve"> MERGEFIELD FixedPayerWCP </w:instrText>
      </w:r>
      <w:r>
        <w:rPr>
          <w:sz w:val="22"/>
        </w:rPr>
        <w:fldChar w:fldCharType="separate"/>
      </w:r>
      <w:r>
        <w:rPr>
          <w:sz w:val="22"/>
        </w:rPr>
        <w:t>«FixedPayerWCP»</w:t>
      </w:r>
      <w:r>
        <w:rPr>
          <w:sz w:val="22"/>
        </w:rPr>
        <w:fldChar w:fldCharType="end"/>
      </w:r>
      <w:r>
        <w:rPr>
          <w:sz w:val="22"/>
        </w:rPr>
        <w:fldChar w:fldCharType="begin"/>
      </w:r>
      <w:r>
        <w:rPr>
          <w:sz w:val="22"/>
        </w:rPr>
        <w:instrText xml:space="preserve"> MERGEFIELD ISDABuyer </w:instrText>
      </w:r>
      <w:r>
        <w:rPr>
          <w:sz w:val="22"/>
        </w:rPr>
        <w:fldChar w:fldCharType="separate"/>
      </w:r>
      <w:r>
        <w:rPr>
          <w:sz w:val="22"/>
        </w:rPr>
      </w:r>
      <w:r>
        <w:rPr>
          <w:sz w:val="22"/>
        </w:rPr>
        <w:fldChar w:fldCharType="end"/>
      </w:r>
    </w:p>
    <w:p>
      <w:pPr>
        <w:pStyle w:val="Normal"/>
        <w:ind w:end="-1080"/>
        <w:rPr>
          <w:sz w:val="22"/>
        </w:rPr>
      </w:pPr>
      <w:r>
        <w:rPr>
          <w:sz w:val="22"/>
        </w:rPr>
      </w:r>
    </w:p>
    <w:tbl>
      <w:tblPr>
        <w:tblW w:w="10638" w:type="dxa"/>
        <w:jc w:val="start"/>
        <w:tblInd w:w="0" w:type="dxa"/>
        <w:tblLayout w:type="fixed"/>
        <w:tblCellMar>
          <w:top w:w="0" w:type="dxa"/>
          <w:start w:w="108" w:type="dxa"/>
          <w:bottom w:w="0" w:type="dxa"/>
          <w:end w:w="108" w:type="dxa"/>
        </w:tblCellMar>
      </w:tblPr>
      <w:tblGrid>
        <w:gridCol w:w="4338"/>
        <w:gridCol w:w="6300"/>
      </w:tblGrid>
      <w:tr>
        <w:trPr/>
        <w:tc>
          <w:tcPr>
            <w:tcW w:w="4338" w:type="dxa"/>
            <w:tcBorders/>
          </w:tcPr>
          <w:p>
            <w:pPr>
              <w:pStyle w:val="Normal"/>
              <w:ind w:end="-1080"/>
              <w:rPr>
                <w:sz w:val="22"/>
              </w:rPr>
            </w:pPr>
            <w:r>
              <w:rPr>
                <w:sz w:val="22"/>
              </w:rPr>
              <w:t xml:space="preserve">            </w:t>
            </w:r>
            <w:r>
              <w:rPr>
                <w:sz w:val="22"/>
              </w:rPr>
              <w:t>Fixed Price:</w:t>
            </w:r>
          </w:p>
        </w:tc>
        <w:tc>
          <w:tcPr>
            <w:tcW w:w="6300" w:type="dxa"/>
            <w:tcBorders/>
          </w:tcPr>
          <w:p>
            <w:pPr>
              <w:pStyle w:val="Normal"/>
              <w:ind w:end="-18"/>
              <w:jc w:val="both"/>
              <w:rPr>
                <w:sz w:val="22"/>
              </w:rPr>
            </w:pPr>
            <w:r>
              <w:rPr>
                <w:sz w:val="22"/>
              </w:rPr>
              <w:fldChar w:fldCharType="begin"/>
            </w:r>
            <w:r>
              <w:rPr>
                <w:sz w:val="22"/>
              </w:rPr>
              <w:instrText xml:space="preserve"> MERGEFIELD FixedPrice </w:instrText>
            </w:r>
            <w:r>
              <w:rPr>
                <w:sz w:val="22"/>
              </w:rPr>
              <w:fldChar w:fldCharType="separate"/>
            </w:r>
            <w:r>
              <w:rPr>
                <w:sz w:val="22"/>
              </w:rPr>
              <w:t>«FixedPrice»</w:t>
            </w:r>
            <w:r>
              <w:rPr>
                <w:sz w:val="22"/>
              </w:rPr>
              <w:fldChar w:fldCharType="end"/>
            </w:r>
          </w:p>
        </w:tc>
      </w:tr>
    </w:tbl>
    <w:p>
      <w:pPr>
        <w:pStyle w:val="Normal"/>
        <w:ind w:end="-1080"/>
        <w:rPr>
          <w:sz w:val="22"/>
        </w:rPr>
      </w:pPr>
      <w:r>
        <w:rPr>
          <w:sz w:val="22"/>
        </w:rPr>
      </w:r>
    </w:p>
    <w:p>
      <w:pPr>
        <w:pStyle w:val="Normal"/>
        <w:ind w:end="-1080"/>
        <w:rPr>
          <w:b/>
          <w:sz w:val="22"/>
        </w:rPr>
      </w:pPr>
      <w:r>
        <w:rPr>
          <w:b/>
          <w:sz w:val="22"/>
        </w:rPr>
        <w:t>Floating Amount Details:</w:t>
      </w:r>
    </w:p>
    <w:p>
      <w:pPr>
        <w:pStyle w:val="Normal"/>
        <w:ind w:end="-1080"/>
        <w:rPr>
          <w:b/>
          <w:sz w:val="22"/>
        </w:rPr>
      </w:pPr>
      <w:r>
        <w:rPr>
          <w:b/>
          <w:sz w:val="22"/>
        </w:rPr>
      </w:r>
    </w:p>
    <w:p>
      <w:pPr>
        <w:pStyle w:val="Normal"/>
        <w:ind w:end="-1080"/>
        <w:rPr>
          <w:sz w:val="22"/>
        </w:rPr>
      </w:pPr>
      <w:r>
        <w:rPr>
          <w:sz w:val="22"/>
        </w:rPr>
        <w:t xml:space="preserve">            </w:t>
      </w:r>
      <w:r>
        <w:rPr>
          <w:sz w:val="22"/>
        </w:rPr>
        <w:t>Floating Price Payor:</w:t>
        <w:tab/>
        <w:tab/>
        <w:tab/>
      </w:r>
      <w:r>
        <w:rPr>
          <w:sz w:val="22"/>
        </w:rPr>
        <w:fldChar w:fldCharType="begin"/>
      </w:r>
      <w:r>
        <w:rPr>
          <w:sz w:val="22"/>
        </w:rPr>
        <w:instrText xml:space="preserve"> MERGEFIELD FloatPayerWCP </w:instrText>
      </w:r>
      <w:r>
        <w:rPr>
          <w:sz w:val="22"/>
        </w:rPr>
        <w:fldChar w:fldCharType="separate"/>
      </w:r>
      <w:r>
        <w:rPr>
          <w:sz w:val="22"/>
        </w:rPr>
        <w:t>«FloatPayerWCP»</w:t>
      </w:r>
      <w:r>
        <w:rPr>
          <w:sz w:val="22"/>
        </w:rPr>
        <w:fldChar w:fldCharType="end"/>
      </w:r>
    </w:p>
    <w:p>
      <w:pPr>
        <w:pStyle w:val="Normal"/>
        <w:ind w:end="-1080"/>
        <w:rPr>
          <w:sz w:val="22"/>
        </w:rPr>
      </w:pPr>
      <w:r>
        <w:rPr>
          <w:sz w:val="22"/>
        </w:rPr>
        <w:tab/>
      </w:r>
    </w:p>
    <w:tbl>
      <w:tblPr>
        <w:tblW w:w="10728" w:type="dxa"/>
        <w:jc w:val="start"/>
        <w:tblInd w:w="0" w:type="dxa"/>
        <w:tblLayout w:type="fixed"/>
        <w:tblCellMar>
          <w:top w:w="0" w:type="dxa"/>
          <w:start w:w="108" w:type="dxa"/>
          <w:bottom w:w="0" w:type="dxa"/>
          <w:end w:w="108" w:type="dxa"/>
        </w:tblCellMar>
      </w:tblPr>
      <w:tblGrid>
        <w:gridCol w:w="4338"/>
        <w:gridCol w:w="6390"/>
      </w:tblGrid>
      <w:tr>
        <w:trPr/>
        <w:tc>
          <w:tcPr>
            <w:tcW w:w="4338" w:type="dxa"/>
            <w:tcBorders/>
          </w:tcPr>
          <w:p>
            <w:pPr>
              <w:pStyle w:val="Normal"/>
              <w:ind w:end="-1080"/>
              <w:rPr>
                <w:sz w:val="22"/>
              </w:rPr>
            </w:pPr>
            <w:r>
              <w:rPr>
                <w:sz w:val="22"/>
              </w:rPr>
              <w:t xml:space="preserve">            </w:t>
            </w:r>
            <w:r>
              <w:rPr>
                <w:sz w:val="22"/>
              </w:rPr>
              <w:t>Floating Price and</w:t>
            </w:r>
          </w:p>
          <w:p>
            <w:pPr>
              <w:pStyle w:val="Normal"/>
              <w:ind w:end="-1080"/>
              <w:rPr>
                <w:sz w:val="22"/>
              </w:rPr>
            </w:pPr>
            <w:r>
              <w:rPr>
                <w:sz w:val="22"/>
              </w:rPr>
              <w:t xml:space="preserve">            </w:t>
            </w:r>
            <w:r>
              <w:rPr>
                <w:sz w:val="22"/>
              </w:rPr>
              <w:t xml:space="preserve">Pricing Date(s): </w:t>
            </w:r>
          </w:p>
        </w:tc>
        <w:tc>
          <w:tcPr>
            <w:tcW w:w="6390"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«FloatPrice»</w:t>
            </w:r>
            <w:r>
              <w:rPr>
                <w:sz w:val="22"/>
              </w:rPr>
              <w:fldChar w:fldCharType="end"/>
            </w:r>
          </w:p>
        </w:tc>
      </w:tr>
    </w:tbl>
    <w:p>
      <w:pPr>
        <w:pStyle w:val="Normal"/>
        <w:ind w:end="-1080"/>
        <w:rPr/>
      </w:pPr>
      <w:r>
        <w:rPr>
          <w:b/>
          <w:sz w:val="22"/>
        </w:rPr>
        <w:tab/>
      </w:r>
      <w:r>
        <w:rPr>
          <w:sz w:val="22"/>
        </w:rPr>
        <w:tab/>
        <w:tab/>
      </w:r>
    </w:p>
    <w:tbl>
      <w:tblPr>
        <w:tblW w:w="10710" w:type="dxa"/>
        <w:jc w:val="start"/>
        <w:tblInd w:w="18" w:type="dxa"/>
        <w:tblLayout w:type="fixed"/>
        <w:tblCellMar>
          <w:top w:w="0" w:type="dxa"/>
          <w:start w:w="108" w:type="dxa"/>
          <w:bottom w:w="0" w:type="dxa"/>
          <w:end w:w="108" w:type="dxa"/>
        </w:tblCellMar>
      </w:tblPr>
      <w:tblGrid>
        <w:gridCol w:w="10710"/>
      </w:tblGrid>
      <w:tr>
        <w:trPr/>
        <w:tc>
          <w:tcPr>
            <w:tcW w:w="10710" w:type="dxa"/>
            <w:tcBorders/>
          </w:tcPr>
          <w:p>
            <w:pPr>
              <w:pStyle w:val="Normal"/>
              <w:jc w:val="both"/>
              <w:rPr>
                <w:b/>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«Rounding»</w:t>
            </w:r>
            <w:r>
              <w:rPr>
                <w:sz w:val="22"/>
              </w:rPr>
              <w:fldChar w:fldCharType="end"/>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108"/>
        <w:jc w:val="both"/>
        <w:rPr>
          <w:sz w:val="22"/>
        </w:rPr>
      </w:pPr>
      <w:r>
        <w:rPr>
          <w:sz w:val="22"/>
        </w:rPr>
        <w:tab/>
        <w:t xml:space="preserve">Terms used and not otherwise defined in this Confirmation shall have the meanings given them in the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108"/>
        <w:jc w:val="both"/>
        <w:rPr>
          <w:sz w:val="22"/>
        </w:rPr>
      </w:pPr>
      <w:r>
        <w:rPr>
          <w:sz w:val="22"/>
        </w:rPr>
        <w:tab/>
        <w:t>Each party represents that it is in compliance with the terms, conditions and limitations set forth in the board resolutions or other guidelines that are applicable to such party’s execution and performance of this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BodyText3"/>
        <w:ind w:end="-18"/>
        <w:rPr/>
      </w:pPr>
      <w:r>
        <w:rPr/>
        <w:tab/>
        <w:t xml:space="preserve">Each party, with respect to itself, hereby represents and warrants to the other party, that (a) the transaction constitutes an “OTC derivative” or such other similar term as defined pursuant to the securities legislation in force in Alberta, British Columbia or Ontario or pursuant to the securities legislation of any other jurisdictions having application to the Transaction and (b) it is a “Qualified Party” within the meaning of paragraph 9.1 of Alberta Securities Commission Blanket Order BOR#91-502 and paragraph 1.1 of the British Columbia Securities Commission Blanket Order BOR#91-501, in either case, as amended, restated, replaced or re-enacted from time to time, and pursuant to any equivalent order or other enactment made pursuant to the securities laws of Alberta, British Columbia, Ontario or any other jurisdictions having application to the Transaction.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If this Confirmation contains any error, please notify ECC immediately.  Failure to notify ECC of a bona fide error in this Confirmation or failure to accept this Confirmation as provided in Section 1 of the Agreement after receipt by Counterparty shall result in this Confirmation being deemed binding as sent.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We look forward to receiving your prompt reply.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p>
          <w:p>
            <w:pPr>
              <w:pStyle w:val="Normal"/>
              <w:rPr>
                <w:sz w:val="22"/>
              </w:rPr>
            </w:pPr>
            <w:r>
              <w:rPr>
                <w:sz w:val="22"/>
              </w:rPr>
            </w:r>
          </w:p>
          <w:p>
            <w:pPr>
              <w:pStyle w:val="Normal"/>
              <w:rPr>
                <w:sz w:val="22"/>
              </w:rPr>
            </w:pPr>
            <w:r>
              <w:rPr>
                <w:sz w:val="22"/>
              </w:rPr>
              <w:tab/>
              <w:tab/>
              <w:tab/>
              <w:tab/>
              <w:tab/>
            </w:r>
          </w:p>
          <w:p>
            <w:pPr>
              <w:pStyle w:val="Normal"/>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rPr>
                <w:sz w:val="22"/>
              </w:rPr>
            </w:pPr>
            <w:r>
              <w:rPr>
                <w:sz w:val="22"/>
              </w:rPr>
              <w:t>Name:  John Zufferli</w:t>
            </w:r>
          </w:p>
          <w:p>
            <w:pPr>
              <w:pStyle w:val="Normal"/>
              <w:rPr>
                <w:sz w:val="22"/>
              </w:rPr>
            </w:pPr>
            <w:r>
              <w:rPr>
                <w:sz w:val="22"/>
              </w:rPr>
              <w:t>Title:    Vice President</w:t>
            </w:r>
          </w:p>
        </w:tc>
        <w:tc>
          <w:tcPr>
            <w:tcW w:w="5292" w:type="dxa"/>
            <w:tcBorders/>
          </w:tcPr>
          <w:p>
            <w:pPr>
              <w:pStyle w:val="Normal"/>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r>
              <w:rPr>
                <w:sz w:val="22"/>
              </w:rPr>
              <w:t xml:space="preserve">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p>
            <w:pPr>
              <w:pStyle w:val="Normal"/>
              <w:rPr>
                <w:sz w:val="22"/>
              </w:rPr>
            </w:pPr>
            <w:r>
              <w:rPr>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BodyTextIndent"/>
        <w:ind w:hanging="0" w:start="0" w:end="-18"/>
        <w:rPr>
          <w:sz w:val="22"/>
        </w:rPr>
      </w:pPr>
      <w:r>
        <w:rPr>
          <w:sz w:val="22"/>
        </w:rPr>
      </w:r>
    </w:p>
    <w:sectPr>
      <w:headerReference w:type="default" r:id="rId3"/>
      <w:footerReference w:type="default" r:id="rId4"/>
      <w:type w:val="nextPage"/>
      <w:pgSz w:w="12240" w:h="15840"/>
      <w:pgMar w:left="864"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519.5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tab/>
      <w:tab/>
      <w:t xml:space="preserve">Deal No. </w:t>
    </w:r>
    <w:r>
      <w:rPr>
        <w:sz w:val="18"/>
      </w:rPr>
      <w:fldChar w:fldCharType="begin"/>
    </w:r>
    <w:r>
      <w:rPr>
        <w:sz w:val="18"/>
      </w:rPr>
      <w:instrText xml:space="preserve"> TITLE </w:instrText>
    </w:r>
    <w:r>
      <w:rPr>
        <w:sz w:val="18"/>
      </w:rPr>
      <w:fldChar w:fldCharType="separate"/>
    </w:r>
    <w:r>
      <w:rPr>
        <w:sz w:val="18"/>
      </w:rPr>
      <w:t xml:space="preserve"> </w:t>
      <w:tab/>
    </w:r>
    <w:r>
      <w:rPr>
        <w:sz w:val="18"/>
      </w:rPr>
      <w:fldChar w:fldCharType="end"/>
    </w:r>
  </w:p>
  <w:p>
    <w:pPr>
      <w:pStyle w:val="Header"/>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spacing w:before="240" w:after="60"/>
      <w:outlineLvl w:val="1"/>
    </w:pPr>
    <w:rPr>
      <w:rFonts w:ascii="Helvetica" w:hAnsi="Helvetica" w:cs="Helvetica"/>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end="0"/>
      <w:jc w:val="both"/>
    </w:pPr>
    <w:rPr>
      <w:sz w:val="22"/>
    </w:rPr>
  </w:style>
  <w:style w:type="paragraph" w:styleId="BodyText2">
    <w:name w:val="Body Text 2"/>
    <w:basedOn w:val="Normal"/>
    <w:qFormat/>
    <w:pPr/>
    <w:rPr>
      <w:b/>
    </w:rPr>
  </w:style>
  <w:style w:type="paragraph" w:styleId="BodyText3">
    <w:name w:val="Body Text 3"/>
    <w:basedOn w:val="Normal"/>
    <w:qFormat/>
    <w:pPr>
      <w:ind w:hanging="0" w:start="0" w:end="72"/>
      <w:jc w:val="both"/>
    </w:pPr>
    <w:rPr>
      <w:color w:val="000000"/>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2001-10-15T13:55:00Z</dcterms:created>
  <dc:creator>ECT</dc:creator>
  <dc:description/>
  <dc:language>en-CA</dc:language>
  <cp:lastModifiedBy>s_mcrouch</cp:lastModifiedBy>
  <dcterms:modified xsi:type="dcterms:W3CDTF">2001-10-15T13:55:00Z</dcterms:modified>
  <cp:revision>2</cp:revision>
  <dc:subject/>
  <dc:title> 	</dc:title>
</cp:coreProperties>
</file>