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rFonts w:ascii="Times New Roman" w:hAnsi="Times New Roman" w:cs="Times New Roman"/>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rFonts w:ascii="Times New Roman" w:hAnsi="Times New Roman" w:cs="Times New Roman"/>
                <w:i/>
                <w:i/>
              </w:rPr>
            </w:pPr>
            <w:r>
              <w:rPr>
                <w:i/>
              </w:rPr>
              <w:fldChar w:fldCharType="begin"/>
            </w:r>
            <w:r>
              <w:rPr>
                <w:i/>
              </w:rPr>
              <w:instrText xml:space="preserve"> MERGEFIELD EnronLogoAddr1 </w:instrText>
            </w:r>
            <w:r>
              <w:rPr>
                <w:i/>
              </w:rPr>
              <w:fldChar w:fldCharType="separate"/>
            </w:r>
            <w:r>
              <w:rPr>
                <w:i/>
              </w:rPr>
              <w:t>1400 Smith St</w:t>
            </w:r>
            <w:r>
              <w:rPr>
                <w:i/>
              </w:rPr>
              <w:fldChar w:fldCharType="end"/>
            </w:r>
          </w:p>
          <w:p>
            <w:pPr>
              <w:pStyle w:val="Normal"/>
              <w:tabs>
                <w:tab w:val="clear" w:pos="720"/>
                <w:tab w:val="left" w:pos="2412" w:leader="none"/>
              </w:tabs>
              <w:ind w:start="1962" w:end="0"/>
              <w:rPr>
                <w:rFonts w:ascii="Times New Roman" w:hAnsi="Times New Roman" w:cs="Times New Roman"/>
                <w:i/>
                <w:i/>
              </w:rPr>
            </w:pPr>
            <w:r>
              <w:rPr>
                <w:i/>
              </w:rPr>
              <w:fldChar w:fldCharType="begin"/>
            </w:r>
            <w:r>
              <w:rPr>
                <w:i/>
              </w:rPr>
              <w:instrText xml:space="preserve"> MERGEFIELD EnronLogoAddr2 </w:instrText>
            </w:r>
            <w:r>
              <w:rPr>
                <w:i/>
              </w:rPr>
              <w:fldChar w:fldCharType="separate"/>
            </w:r>
            <w:r>
              <w:rPr>
                <w:i/>
              </w:rPr>
              <w:t>Houston, TX 77002-7327</w:t>
            </w:r>
            <w:r>
              <w:rPr>
                <w:i/>
              </w:rPr>
              <w:fldChar w:fldCharType="end"/>
            </w:r>
          </w:p>
          <w:p>
            <w:pPr>
              <w:pStyle w:val="Normal"/>
              <w:tabs>
                <w:tab w:val="clear" w:pos="720"/>
                <w:tab w:val="left" w:pos="2412" w:leader="none"/>
              </w:tabs>
              <w:ind w:start="1962" w:end="0"/>
              <w:rPr>
                <w:rFonts w:ascii="Times New Roman" w:hAnsi="Times New Roman" w:cs="Times New Roman"/>
                <w:i/>
                <w:i/>
              </w:rPr>
            </w:pPr>
            <w:r>
              <w:rPr>
                <w:i/>
              </w:rPr>
              <w:t>Fax (713) 646-2491</w:t>
            </w:r>
          </w:p>
          <w:p>
            <w:pPr>
              <w:pStyle w:val="Normal"/>
              <w:tabs>
                <w:tab w:val="clear" w:pos="720"/>
                <w:tab w:val="left" w:pos="2412" w:leader="none"/>
              </w:tabs>
              <w:ind w:start="1962" w:end="0"/>
              <w:rPr>
                <w:rFonts w:ascii="Times New Roman" w:hAnsi="Times New Roman" w:cs="Times New Roman"/>
                <w:i/>
                <w:i/>
              </w:rPr>
            </w:pPr>
            <w:r>
              <w:rPr>
                <w:rFonts w:cs="Times New Roman" w:ascii="Times New Roman" w:hAnsi="Times New Roman"/>
                <w:i/>
              </w:rPr>
            </w:r>
          </w:p>
        </w:tc>
      </w:tr>
    </w:tbl>
    <w:p>
      <w:pPr>
        <w:pStyle w:val="Header"/>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September 28, 2001</w:t>
      </w:r>
      <w:r>
        <w:rPr>
          <w:rFonts w:cs="Times New Roman" w:ascii="Times New Roman" w:hAnsi="Times New Roman"/>
        </w:rPr>
        <w:fldChar w:fldCharType="end"/>
      </w:r>
    </w:p>
    <w:p>
      <w:pPr>
        <w:pStyle w:val="Normal"/>
        <w:rPr/>
      </w:pPr>
      <w:r>
        <w:rPr>
          <w:rFonts w:cs="Times New Roman" w:ascii="Times New Roman" w:hAnsi="Times New Roman"/>
        </w:rPr>
        <w:t>To:</w:t>
        <w:tab/>
        <w:tab/>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Dynegy Marketing and Trade</w:t>
      </w:r>
      <w:r>
        <w:rPr>
          <w:rFonts w:cs="Times New Roman" w:ascii="Times New Roman" w:hAnsi="Times New Roman"/>
        </w:rPr>
        <w:fldChar w:fldCharType="end"/>
      </w:r>
      <w:r>
        <w:rPr>
          <w:rFonts w:cs="Times New Roman" w:ascii="Times New Roman" w:hAnsi="Times New Roman"/>
        </w:rPr>
        <w:t xml:space="preserve"> ("Counterparty")</w:t>
      </w:r>
    </w:p>
    <w:p>
      <w:pPr>
        <w:pStyle w:val="Normal"/>
        <w:rPr>
          <w:rFonts w:ascii="Times New Roman" w:hAnsi="Times New Roman" w:cs="Times New Roman"/>
        </w:rPr>
      </w:pPr>
      <w:r>
        <w:rPr>
          <w:rFonts w:cs="Times New Roman" w:ascii="Times New Roman" w:hAnsi="Times New Roman"/>
        </w:rPr>
        <w:t>Attention:</w:t>
        <w:tab/>
        <w:tab/>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Brian Tanplin</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tab/>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(713) 767-8695</w:t>
      </w:r>
      <w:r>
        <w:rPr>
          <w:rFonts w:cs="Times New Roman" w:ascii="Times New Roman" w:hAnsi="Times New Roman"/>
        </w:rPr>
        <w:fldChar w:fldCharType="end"/>
      </w:r>
    </w:p>
    <w:p>
      <w:pPr>
        <w:pStyle w:val="Normal"/>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w:t>
      </w:r>
    </w:p>
    <w:p>
      <w:pPr>
        <w:pStyle w:val="Normal"/>
        <w:rPr>
          <w:rFonts w:ascii="Times New Roman" w:hAnsi="Times New Roman" w:cs="Times New Roman"/>
        </w:rPr>
      </w:pPr>
      <w:r>
        <w:rPr>
          <w:rFonts w:cs="Times New Roman" w:ascii="Times New Roman" w:hAnsi="Times New Roman"/>
        </w:rPr>
        <w:t>Re:</w:t>
        <w:tab/>
        <w:tab/>
        <w:tab/>
        <w:tab/>
        <w:t xml:space="preserve">Commodity Swap </w:t>
      </w:r>
      <w:r>
        <w:rPr>
          <w:rFonts w:cs="Times New Roman" w:ascii="Times New Roman" w:hAnsi="Times New Roman"/>
          <w:color w:val="000000"/>
        </w:rPr>
        <w:fldChar w:fldCharType="begin"/>
      </w:r>
      <w:r>
        <w:rPr>
          <w:rFonts w:cs="Times New Roman" w:ascii="Times New Roman" w:hAnsi="Times New Roman"/>
          <w:color w:val="000000"/>
        </w:rPr>
        <w:instrText xml:space="preserve"> MERGEFIELD DealNumber </w:instrText>
      </w:r>
      <w:r>
        <w:rPr>
          <w:rFonts w:cs="Times New Roman" w:ascii="Times New Roman" w:hAnsi="Times New Roman"/>
          <w:color w:val="000000"/>
        </w:rPr>
        <w:fldChar w:fldCharType="separate"/>
      </w:r>
      <w:r>
        <w:rPr>
          <w:rFonts w:cs="Times New Roman" w:ascii="Times New Roman" w:hAnsi="Times New Roman"/>
          <w:color w:val="000000"/>
        </w:rPr>
        <w:t>794728.01</w:t>
      </w:r>
      <w:r>
        <w:rPr>
          <w:rFonts w:cs="Times New Roman" w:ascii="Times New Roman" w:hAnsi="Times New Roman"/>
          <w:color w:val="000000"/>
        </w:rPr>
        <w:fldChar w:fldCharType="end"/>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fldChar w:fldCharType="begin"/>
      </w:r>
      <w:r>
        <w:rPr>
          <w:b/>
          <w:rFonts w:cs="Times New Roman" w:ascii="Times New Roman" w:hAnsi="Times New Roman"/>
        </w:rPr>
        <w:instrText xml:space="preserve"> MERGEFIELD EOLID </w:instrText>
      </w:r>
      <w:r>
        <w:rPr>
          <w:b/>
          <w:rFonts w:cs="Times New Roman" w:ascii="Times New Roman" w:hAnsi="Times New Roman"/>
        </w:rPr>
        <w:fldChar w:fldCharType="separate"/>
      </w:r>
      <w:r>
        <w:rPr>
          <w:b/>
          <w:rFonts w:cs="Times New Roman" w:ascii="Times New Roman" w:hAnsi="Times New Roman"/>
        </w:rPr>
        <w:t>This Transaction was entered into between the parties via EnronOnline.</w:t>
        <w:t>EnronOnline Deal No: 1931711</w:t>
      </w:r>
      <w:r>
        <w:rPr>
          <w:b/>
          <w:rFonts w:cs="Times New Roman" w:ascii="Times New Roman" w:hAnsi="Times New Roman"/>
        </w:rPr>
        <w:fldChar w:fldCharType="end"/>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Reference is made to the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January 27, 1992</w:t>
      </w:r>
      <w:r>
        <w:rPr>
          <w:rFonts w:cs="Times New Roman" w:ascii="Times New Roman" w:hAnsi="Times New Roman"/>
        </w:rPr>
        <w:fldChar w:fldCharType="end"/>
      </w:r>
      <w:r>
        <w:rPr>
          <w:rFonts w:cs="Times New Roman" w:ascii="Times New Roman" w:hAnsi="Times New Roman"/>
        </w:rPr>
        <w:t xml:space="preserve"> (the "Agreement") between </w:t>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Dynegy Marketing and Trade</w:t>
      </w:r>
      <w:r>
        <w:rPr>
          <w:rFonts w:cs="Times New Roman" w:ascii="Times New Roman" w:hAnsi="Times New Roman"/>
        </w:rPr>
        <w:fldChar w:fldCharType="end"/>
      </w:r>
      <w:r>
        <w:rPr>
          <w:rFonts w:cs="Times New Roman" w:ascii="Times New Roman" w:hAnsi="Times New Roman"/>
        </w:rPr>
        <w:t xml:space="preserve"> ("Counterparty") and </w:t>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 pursuant to which this Confirmation is delivered and to which the Transaction contemplated herein is subject.  This is a confirmation of the following Transaction entered between us on </w:t>
      </w:r>
      <w:r>
        <w:rPr>
          <w:rFonts w:cs="Times New Roman" w:ascii="Times New Roman" w:hAnsi="Times New Roman"/>
          <w:i/>
        </w:rPr>
        <w:fldChar w:fldCharType="begin"/>
      </w:r>
      <w:r>
        <w:rPr>
          <w:i/>
          <w:rFonts w:cs="Times New Roman" w:ascii="Times New Roman" w:hAnsi="Times New Roman"/>
        </w:rPr>
        <w:instrText xml:space="preserve"> MERGEFIELD DealDate </w:instrText>
      </w:r>
      <w:r>
        <w:rPr>
          <w:i/>
          <w:rFonts w:cs="Times New Roman" w:ascii="Times New Roman" w:hAnsi="Times New Roman"/>
        </w:rPr>
        <w:fldChar w:fldCharType="separate"/>
      </w:r>
      <w:r>
        <w:rPr>
          <w:i/>
          <w:rFonts w:cs="Times New Roman" w:ascii="Times New Roman" w:hAnsi="Times New Roman"/>
        </w:rPr>
        <w:t>September 28, 2001</w:t>
      </w:r>
      <w:r>
        <w:rPr>
          <w:i/>
          <w:rFonts w:cs="Times New Roman" w:ascii="Times New Roman" w:hAnsi="Times New Roman"/>
        </w:rPr>
        <w:fldChar w:fldCharType="end"/>
      </w:r>
      <w:r>
        <w:rPr>
          <w:rFonts w:cs="Times New Roman" w:ascii="Times New Roman" w:hAnsi="Times New Roman"/>
        </w:rPr>
        <w:t>:</w:t>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fldChar w:fldCharType="begin"/>
            </w:r>
            <w:r>
              <w:rPr>
                <w:rFonts w:cs="Times New Roman" w:ascii="Times New Roman" w:hAnsi="Times New Roman"/>
              </w:rPr>
              <w:instrText xml:space="preserve"> MERGEFIELD QuantityPerHour </w:instrText>
            </w:r>
            <w:r>
              <w:rPr>
                <w:rFonts w:cs="Times New Roman" w:ascii="Times New Roman" w:hAnsi="Times New Roman"/>
              </w:rPr>
              <w:fldChar w:fldCharType="separate"/>
            </w:r>
            <w:r>
              <w:rPr>
                <w:rFonts w:cs="Times New Roman" w:ascii="Times New Roman" w:hAnsi="Times New Roman"/>
              </w:rPr>
              <w:t>50</w:t>
            </w:r>
            <w:r>
              <w:rPr>
                <w:rFonts w:cs="Times New Roman" w:ascii="Times New Roman" w:hAnsi="Times New Roman"/>
              </w:rPr>
              <w:fldChar w:fldCharType="end"/>
            </w:r>
            <w:r>
              <w:rPr>
                <w:rFonts w:eastAsia="CG Times;Times New Roman"/>
              </w:rPr>
              <w:t xml:space="preserve"> </w:t>
            </w:r>
            <w:r>
              <w:rPr>
                <w:rFonts w:cs="Times New Roman" w:ascii="Times New Roman" w:hAnsi="Times New Roman"/>
              </w:rPr>
              <w:t>MWs per hour for each hour during the Determination Period.</w:t>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Electricity/MWh</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September 28, 2001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September 28, 2001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Term </w:instrText>
            </w:r>
            <w:r>
              <w:rPr>
                <w:rFonts w:cs="Times New Roman" w:ascii="Times New Roman" w:hAnsi="Times New Roman"/>
              </w:rPr>
              <w:fldChar w:fldCharType="separate"/>
            </w:r>
            <w:r>
              <w:rPr>
                <w:rFonts w:cs="Times New Roman" w:ascii="Times New Roman" w:hAnsi="Times New Roman"/>
              </w:rPr>
              <w:t xml:space="preserve">Friday, September 28, 2001. </w:t>
              <w:t xml:space="preserve">Hour Ending (HE) 1000 through HE 2300 (14 Hours); </w:t>
              <w:t xml:space="preserve">Eastern Prevailing Time. </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The fifth (5th) Business Day following the last day of the month that includes the Determination Period.</w:t>
            </w:r>
          </w:p>
        </w:tc>
      </w:tr>
    </w:tbl>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r>
      <w:r>
        <w:rPr>
          <w:rFonts w:cs="Times New Roman" w:ascii="Times New Roman" w:hAnsi="Times New Roman"/>
        </w:rPr>
        <w:fldChar w:fldCharType="begin"/>
      </w:r>
      <w:r>
        <w:rPr>
          <w:rFonts w:cs="Times New Roman" w:ascii="Times New Roman" w:hAnsi="Times New Roman"/>
        </w:rPr>
        <w:instrText xml:space="preserve"> MERGEFIELD FixedPayerWCP </w:instrText>
      </w:r>
      <w:r>
        <w:rPr>
          <w:rFonts w:cs="Times New Roman" w:ascii="Times New Roman" w:hAnsi="Times New Roman"/>
        </w:rPr>
        <w:fldChar w:fldCharType="separate"/>
      </w:r>
      <w:r>
        <w:rPr>
          <w:rFonts w:cs="Times New Roman" w:ascii="Times New Roman" w:hAnsi="Times New Roman"/>
        </w:rPr>
        <w:t>Counterparty</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$22.75/MWh.</w:t>
            </w:r>
            <w:r>
              <w:rPr>
                <w:rFonts w:cs="Times New Roman" w:ascii="Times New Roman" w:hAnsi="Times New Roman"/>
              </w:rPr>
              <w:fldChar w:fldCharType="end"/>
            </w:r>
          </w:p>
        </w:tc>
      </w:tr>
    </w:tbl>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r>
      <w:r>
        <w:rPr>
          <w:rFonts w:cs="Times New Roman" w:ascii="Times New Roman" w:hAnsi="Times New Roman"/>
        </w:rPr>
        <w:fldChar w:fldCharType="begin"/>
      </w:r>
      <w:r>
        <w:rPr>
          <w:rFonts w:cs="Times New Roman" w:ascii="Times New Roman" w:hAnsi="Times New Roman"/>
        </w:rPr>
        <w:instrText xml:space="preserve"> MERGEFIELD FloatPayerWCP </w:instrText>
      </w:r>
      <w:r>
        <w:rPr>
          <w:rFonts w:cs="Times New Roman" w:ascii="Times New Roman" w:hAnsi="Times New Roman"/>
        </w:rPr>
        <w:fldChar w:fldCharType="separate"/>
      </w:r>
      <w:r>
        <w:rPr>
          <w:rFonts w:cs="Times New Roman" w:ascii="Times New Roman" w:hAnsi="Times New Roman"/>
        </w:rPr>
        <w:t>ENA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3618"/>
        <w:gridCol w:w="6534"/>
      </w:tblGrid>
      <w:tr>
        <w:trPr/>
        <w:tc>
          <w:tcPr>
            <w:tcW w:w="361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6534" w:type="dxa"/>
            <w:tcBorders/>
          </w:tcPr>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hourly-weighted average of the hourly  prices as published by PJM Interconnection, LLC (“PJM”) on PJM’s official web site currently located at ftp://www.pjm.com/pub/account/lmp/index.html, or any successor thereto, under the headings “PJM - Daily Real-Time Locational Marginal Pricing Files; Western Hub” for electricity delivered during the applicable hours for the applicable Determination Period.</w:t>
            </w:r>
            <w:r>
              <w:rPr>
                <w:rFonts w:cs="Times New Roman" w:ascii="Times New Roman" w:hAnsi="Times New Roman"/>
              </w:rPr>
              <w:fldChar w:fldCharType="end"/>
            </w:r>
          </w:p>
        </w:tc>
      </w:tr>
      <w:tr>
        <w:trPr/>
        <w:tc>
          <w:tcPr>
            <w:tcW w:w="3618" w:type="dxa"/>
            <w:tcBorders/>
          </w:tcPr>
          <w:p>
            <w:pPr>
              <w:pStyle w:val="Normal"/>
              <w:snapToGrid w:val="false"/>
              <w:ind w:firstLine="720" w:end="0"/>
              <w:rPr>
                <w:rFonts w:ascii="Times New Roman" w:hAnsi="Times New Roman" w:cs="Times New Roman"/>
              </w:rPr>
            </w:pPr>
            <w:r>
              <w:rPr>
                <w:rFonts w:cs="Times New Roman" w:ascii="Times New Roman" w:hAnsi="Times New Roman"/>
              </w:rPr>
            </w:r>
          </w:p>
        </w:tc>
        <w:tc>
          <w:tcPr>
            <w:tcW w:w="6534" w:type="dxa"/>
            <w:tcBorders/>
          </w:tcPr>
          <w:p>
            <w:pPr>
              <w:pStyle w:val="Normal"/>
              <w:snapToGrid w:val="false"/>
              <w:jc w:val="both"/>
              <w:rPr>
                <w:rFonts w:ascii="Times New Roman" w:hAnsi="Times New Roman" w:cs="Times New Roman"/>
              </w:rPr>
            </w:pPr>
            <w:r>
              <w:rPr>
                <w:rFonts w:cs="Times New Roman" w:ascii="Times New Roman" w:hAnsi="Times New Roman"/>
              </w:rPr>
            </w:r>
          </w:p>
        </w:tc>
      </w:tr>
      <w:tr>
        <w:trPr/>
        <w:tc>
          <w:tcPr>
            <w:tcW w:w="10152" w:type="dxa"/>
            <w:gridSpan w:val="2"/>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rFonts w:cs="Times New Roman" w:ascii="Times New Roman" w:hAnsi="Times New Roman"/>
              </w:rPr>
              <w:fldChar w:fldCharType="end"/>
            </w:r>
          </w:p>
        </w:tc>
      </w:tr>
      <w:tr>
        <w:trPr/>
        <w:tc>
          <w:tcPr>
            <w:tcW w:w="10152" w:type="dxa"/>
            <w:gridSpan w:val="2"/>
            <w:tcBorders/>
          </w:tcPr>
          <w:p>
            <w:pPr>
              <w:pStyle w:val="Normal"/>
              <w:snapToGrid w:val="false"/>
              <w:ind w:firstLine="540" w:start="180" w:end="0"/>
              <w:jc w:val="both"/>
              <w:rPr>
                <w:rFonts w:ascii="Times New Roman" w:hAnsi="Times New Roman" w:cs="Times New Roman"/>
              </w:rPr>
            </w:pPr>
            <w:r>
              <w:rPr>
                <w:rFonts w:cs="Times New Roman" w:ascii="Times New Roman" w:hAnsi="Times New Roman"/>
              </w:rPr>
            </w:r>
          </w:p>
          <w:p>
            <w:pPr>
              <w:pStyle w:val="Normal"/>
              <w:ind w:firstLine="540" w:start="180" w:end="0"/>
              <w:jc w:val="both"/>
              <w:rPr>
                <w:rFonts w:ascii="Times New Roman" w:hAnsi="Times New Roman" w:cs="Times New Roman"/>
              </w:rPr>
            </w:pPr>
            <w:r>
              <w:rPr>
                <w:rFonts w:cs="Times New Roman" w:ascii="Times New Roman" w:hAnsi="Times New Roman"/>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Terms used and not otherwise defined in this Confirmation shall have the meanings given them in the Agreement.  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 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rFonts w:ascii="Times New Roman" w:hAnsi="Times New Roman" w:cs="Times New Roman"/>
              </w:rPr>
            </w:pPr>
            <w:r>
              <w:rPr>
                <w:rFonts w:cs="Times New Roman" w:ascii="Times New Roman" w:hAnsi="Times New Roman"/>
              </w:rPr>
              <w:t>Yours 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«SignatureGoesHere»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M.D. Davis, Jr.</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Vice President</w:t>
            </w:r>
            <w:r>
              <w:rPr>
                <w:rFonts w:cs="Times New Roman" w:ascii="Times New Roman" w:hAnsi="Times New Roman"/>
              </w:rPr>
              <w:fldChar w:fldCharType="end"/>
            </w:r>
          </w:p>
        </w:tc>
        <w:tc>
          <w:tcPr>
            <w:tcW w:w="5292" w:type="dxa"/>
            <w:tcBorders/>
          </w:tcPr>
          <w:p>
            <w:pPr>
              <w:pStyle w:val="Normal"/>
              <w:rPr/>
            </w:pP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794728.01</w:t>
            </w:r>
            <w:r>
              <w:rPr>
                <w:rFonts w:cs="Times New Roman" w:ascii="Times New Roman" w:hAnsi="Times New Roman"/>
              </w:rPr>
              <w:fldChar w:fldCharType="end"/>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Confirmed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Dynegy Marketing and Trade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sectPr>
      <w:headerReference w:type="default" r:id="rId3"/>
      <w:headerReference w:type="first" r:id="rId4"/>
      <w:footerReference w:type="default" r:id="rId5"/>
      <w:footerReference w:type="first" r:id="rId6"/>
      <w:type w:val="nextPage"/>
      <w:pgSz w:w="12240" w:h="15840"/>
      <w:pgMar w:left="1152" w:right="1152" w:gutter="0" w:header="720" w:top="1296"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Deal No. </w:t>
    </w:r>
    <w:r>
      <w:rPr/>
      <w:fldChar w:fldCharType="begin"/>
    </w:r>
    <w:r>
      <w:rPr/>
      <w:instrText xml:space="preserve"> TITLE </w:instrText>
    </w:r>
    <w:r>
      <w:rPr/>
      <w:fldChar w:fldCharType="separate"/>
    </w:r>
    <w:r>
      <w:rPr/>
      <w:t>794728.01</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18"/>
      </w:rPr>
      <w:tab/>
      <w:tab/>
      <w:t>Deal No.</w:t>
    </w:r>
    <w:r>
      <w:rPr/>
      <w:t xml:space="preserve"> </w:t>
    </w:r>
    <w:r>
      <w:rPr/>
      <w:fldChar w:fldCharType="begin"/>
    </w:r>
    <w:r>
      <w:rPr/>
      <w:instrText xml:space="preserve"> TITLE </w:instrText>
    </w:r>
    <w:r>
      <w:rPr/>
      <w:fldChar w:fldCharType="separate"/>
    </w:r>
    <w:r>
      <w:rPr/>
      <w:t>794728.01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2001-10-08T15:17:00Z</dcterms:created>
  <dc:creator>ECT</dc:creator>
  <dc:description/>
  <dc:language>en-CA</dc:language>
  <cp:lastModifiedBy>khundl</cp:lastModifiedBy>
  <dcterms:modified xsi:type="dcterms:W3CDTF">2001-10-08T15:17:00Z</dcterms:modified>
  <cp:revision>2</cp:revision>
  <dc:subject/>
  <dc:title>794728.01</dc:title>
</cp:coreProperties>
</file>