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4.xlsx" ContentType="application/vnd.openxmlformats-officedocument.spreadsheetml.sheet"/>
  <Override PartName="/word/embeddings/oleObject2.bin" ContentType="application/vnd.openxmlformats-officedocument.oleObjec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400" w:after="120"/>
        <w:ind w:start="-840" w:firstLine="840" w:end="0"/>
        <w:outlineLvl w:val="0"/>
        <w:rPr>
          <w:rFonts w:ascii="Times New Roman" w:hAnsi="Times New Roman" w:cs="Times New Roman"/>
        </w:rPr>
      </w:pPr>
      <w:r>
        <w:rPr>
          <w:rFonts w:cs="Times New Roman" w:ascii="Times New Roman" w:hAnsi="Times New Roman"/>
          <w:sz w:val="36"/>
        </w:rPr>
        <w:t>Memo</w:t>
      </w:r>
      <w:r>
        <mc:AlternateContent>
          <mc:Choice Requires="wps">
            <w:drawing>
              <wp:anchor behindDoc="0" distT="0" distB="0" distL="114300" distR="114300" simplePos="0" locked="0" layoutInCell="0" allowOverlap="1" relativeHeight="2">
                <wp:simplePos x="0" y="0"/>
                <wp:positionH relativeFrom="page">
                  <wp:posOffset>367665</wp:posOffset>
                </wp:positionH>
                <wp:positionV relativeFrom="paragraph">
                  <wp:posOffset>-797560</wp:posOffset>
                </wp:positionV>
                <wp:extent cx="1129665" cy="1129030"/>
                <wp:effectExtent l="0" t="0" r="0" b="0"/>
                <wp:wrapSquare wrapText="bothSides"/>
                <wp:docPr id="1" name="Frame1"/>
                <a:graphic xmlns:a="http://schemas.openxmlformats.org/drawingml/2006/main">
                  <a:graphicData uri="http://schemas.microsoft.com/office/word/2010/wordprocessingShape">
                    <wps:wsp>
                      <wps:cNvSpPr txBox="1"/>
                      <wps:spPr>
                        <a:xfrm>
                          <a:off x="0" y="0"/>
                          <a:ext cx="1129665" cy="1129030"/>
                        </a:xfrm>
                        <a:prstGeom prst="rect"/>
                        <a:solidFill>
                          <a:srgbClr val="FFFFFF">
                            <a:alpha val="0"/>
                          </a:srgbClr>
                        </a:solidFill>
                      </wps:spPr>
                      <wps:txbx>
                        <w:txbxContent>
                          <w:p>
                            <w:pPr>
                              <w:pStyle w:val="Normal"/>
                              <w:rPr/>
                            </w:pPr>
                            <w:r>
                              <w:rPr/>
                              <w:object w:dxaOrig="1778" w:dyaOrig="1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8.9pt;height:88.9pt" filled="f" o:ole="">
                                  <v:imagedata r:id="rId3" o:title=""/>
                                </v:shape>
                                <o:OLEObject Type="Embed" ProgID="" ShapeID="ole_rId2" DrawAspect="Content" ObjectID="_980658881" r:id="rId2"/>
                              </w:object>
                            </w:r>
                          </w:p>
                        </w:txbxContent>
                      </wps:txbx>
                      <wps:bodyPr anchor="t" lIns="0" tIns="0" rIns="0" bIns="0">
                        <a:noAutofit/>
                      </wps:bodyPr>
                    </wps:wsp>
                  </a:graphicData>
                </a:graphic>
              </wp:anchor>
            </w:drawing>
          </mc:Choice>
          <mc:Fallback>
            <w:pict>
              <v:rect fillcolor="#FFFFFF" style="position:absolute;rotation:-0;width:88.95pt;height:88.9pt;mso-wrap-distance-left:9pt;mso-wrap-distance-right:9pt;mso-wrap-distance-top:0pt;mso-wrap-distance-bottom:0pt;margin-top:-62.8pt;mso-position-vertical-relative:text;margin-left:28.95pt;mso-position-horizontal-relative:page">
                <v:fill opacity="0f"/>
                <v:textbox inset="0in,0in,0in,0in">
                  <w:txbxContent>
                    <w:p>
                      <w:pPr>
                        <w:pStyle w:val="Normal"/>
                        <w:rPr/>
                      </w:pPr>
                      <w:r>
                        <w:rPr/>
                        <w:object w:dxaOrig="1778" w:dyaOrig="177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8.9pt;height:88.9pt" filled="f" o:ole="">
                            <v:imagedata r:id="rId5" o:title=""/>
                          </v:shape>
                          <o:OLEObject Type="Embed" ProgID="" ShapeID="ole_rId4" DrawAspect="Content" ObjectID="_745675798" r:id="rId4"/>
                        </w:object>
                      </w:r>
                    </w:p>
                  </w:txbxContent>
                </v:textbox>
                <w10:wrap type="square"/>
              </v:rect>
            </w:pict>
          </mc:Fallback>
        </mc:AlternateContent>
      </w:r>
    </w:p>
    <w:p>
      <w:pPr>
        <w:pStyle w:val="MessageHeaderFirst"/>
        <w:rPr/>
      </w:pPr>
      <w:r>
        <w:rPr>
          <w:rStyle w:val="MessageHeaderLabel"/>
          <w:rFonts w:cs="Times New Roman" w:ascii="Times New Roman" w:hAnsi="Times New Roman"/>
        </w:rPr>
        <w:t>Date:</w:t>
      </w:r>
      <w:r>
        <w:rPr>
          <w:rFonts w:cs="Times New Roman" w:ascii="Times New Roman" w:hAnsi="Times New Roman"/>
        </w:rPr>
        <w:tab/>
      </w:r>
      <w:r>
        <w:rPr>
          <w:rFonts w:cs="Times New Roman" w:ascii="Times New Roman" w:hAnsi="Times New Roman"/>
          <w:sz w:val="28"/>
        </w:rPr>
        <w:t>February 2001</w:t>
      </w:r>
    </w:p>
    <w:p>
      <w:pPr>
        <w:pStyle w:val="MessageHeaderFirst"/>
        <w:rPr/>
      </w:pPr>
      <w:r>
        <w:rPr>
          <w:rStyle w:val="MessageHeaderLabel"/>
          <w:rFonts w:cs="Times New Roman" w:ascii="Times New Roman" w:hAnsi="Times New Roman"/>
        </w:rPr>
        <w:t>To:</w:t>
      </w:r>
      <w:r>
        <w:rPr>
          <w:rFonts w:cs="Times New Roman" w:ascii="Times New Roman" w:hAnsi="Times New Roman"/>
        </w:rPr>
        <w:t xml:space="preserve">           John Sherriff, Richard Lewis, Simon Hastings, Fernley Dyson, Mike Jordan, David Port, Micheal Brown, Ted Murphy, Sally Beck, </w:t>
      </w:r>
    </w:p>
    <w:p>
      <w:pPr>
        <w:pStyle w:val="MessageHeader"/>
        <w:ind w:hanging="0" w:start="0" w:end="0"/>
        <w:rPr>
          <w:rStyle w:val="MessageHeaderLabel"/>
          <w:rFonts w:ascii="Times New Roman" w:hAnsi="Times New Roman" w:cs="Times New Roman"/>
          <w:sz w:val="20"/>
        </w:rPr>
      </w:pPr>
      <w:r>
        <w:rPr>
          <w:rFonts w:cs="Times New Roman" w:ascii="Times New Roman" w:hAnsi="Times New Roman"/>
        </w:rPr>
      </w:r>
    </w:p>
    <w:p>
      <w:pPr>
        <w:pStyle w:val="MessageHeader"/>
        <w:numPr>
          <w:ilvl w:val="0"/>
          <w:numId w:val="0"/>
        </w:numPr>
        <w:ind w:hanging="0" w:start="0" w:end="0"/>
        <w:outlineLvl w:val="0"/>
        <w:rPr/>
      </w:pPr>
      <w:r>
        <w:rPr>
          <w:rStyle w:val="MessageHeaderLabel"/>
          <w:rFonts w:cs="Times New Roman" w:ascii="Times New Roman" w:hAnsi="Times New Roman"/>
        </w:rPr>
        <w:t>From:</w:t>
      </w:r>
      <w:r>
        <w:rPr>
          <w:rFonts w:cs="Times New Roman" w:ascii="Times New Roman" w:hAnsi="Times New Roman"/>
        </w:rPr>
        <w:tab/>
        <w:t>Mike Wellings/James New</w:t>
      </w:r>
    </w:p>
    <w:p>
      <w:pPr>
        <w:pStyle w:val="MessageHeaderLast"/>
        <w:pBdr>
          <w:bottom w:val="single" w:sz="6" w:space="17" w:color="000000"/>
        </w:pBdr>
        <w:ind w:hanging="0" w:start="0" w:end="0"/>
        <w:rPr/>
      </w:pPr>
      <w:r>
        <w:rPr>
          <w:rStyle w:val="MessageHeaderLabel"/>
          <w:rFonts w:cs="Times New Roman" w:ascii="Times New Roman" w:hAnsi="Times New Roman"/>
        </w:rPr>
        <w:t>Re:</w:t>
      </w:r>
      <w:r>
        <w:rPr>
          <w:rFonts w:cs="Times New Roman" w:ascii="Times New Roman" w:hAnsi="Times New Roman"/>
        </w:rPr>
        <w:tab/>
      </w:r>
      <w:r>
        <w:rPr>
          <w:rFonts w:cs="Times New Roman" w:ascii="Times New Roman" w:hAnsi="Times New Roman"/>
          <w:b/>
          <w:sz w:val="24"/>
          <w:u w:val="single"/>
        </w:rPr>
        <w:t>UK Power – January 2001 Curve Validation and Profit and Loss Report</w:t>
      </w:r>
    </w:p>
    <w:p>
      <w:pPr>
        <w:pStyle w:val="MessageHeader"/>
        <w:tabs>
          <w:tab w:val="clear" w:pos="720"/>
          <w:tab w:val="left" w:pos="0" w:leader="none"/>
        </w:tabs>
        <w:ind w:hanging="0" w:start="0" w:end="0"/>
        <w:rPr/>
      </w:pPr>
      <w:r>
        <w:rPr>
          <w:rFonts w:cs="Times New Roman" w:ascii="Times New Roman" w:hAnsi="Times New Roman"/>
        </w:rPr>
        <w:t>The purpose of this memorandum is to summarise our review of the UK Power Curves used as at the 31</w:t>
      </w:r>
      <w:r>
        <w:rPr>
          <w:rFonts w:cs="Times New Roman" w:ascii="Times New Roman" w:hAnsi="Times New Roman"/>
          <w:vertAlign w:val="superscript"/>
        </w:rPr>
        <w:t>st</w:t>
      </w:r>
      <w:r>
        <w:rPr>
          <w:rFonts w:cs="Times New Roman" w:ascii="Times New Roman" w:hAnsi="Times New Roman"/>
        </w:rPr>
        <w:t xml:space="preserve"> January 2001 and analyse the reported profits of the book. </w:t>
      </w:r>
    </w:p>
    <w:p>
      <w:pPr>
        <w:pStyle w:val="MessageHeader"/>
        <w:numPr>
          <w:ilvl w:val="0"/>
          <w:numId w:val="0"/>
        </w:numPr>
        <w:tabs>
          <w:tab w:val="clear" w:pos="720"/>
          <w:tab w:val="left" w:pos="0" w:leader="none"/>
        </w:tabs>
        <w:ind w:hanging="720" w:start="720"/>
        <w:outlineLvl w:val="0"/>
        <w:rPr>
          <w:rFonts w:ascii="Times New Roman" w:hAnsi="Times New Roman" w:cs="Times New Roman"/>
        </w:rPr>
      </w:pPr>
      <w:r>
        <w:rPr>
          <w:rFonts w:cs="Times New Roman" w:ascii="Times New Roman" w:hAnsi="Times New Roman"/>
          <w:b/>
          <w:u w:val="single"/>
        </w:rPr>
        <w:t>A- Executive Summary</w:t>
      </w:r>
    </w:p>
    <w:p>
      <w:pPr>
        <w:pStyle w:val="MessageHeader"/>
        <w:tabs>
          <w:tab w:val="clear" w:pos="720"/>
          <w:tab w:val="left" w:pos="0" w:leader="none"/>
        </w:tabs>
        <w:ind w:hanging="0" w:start="0" w:end="0"/>
        <w:rPr/>
      </w:pPr>
      <w:r>
        <w:rPr>
          <w:rFonts w:cs="Times New Roman" w:ascii="Times New Roman" w:hAnsi="Times New Roman"/>
        </w:rPr>
        <w:tab/>
        <w:t xml:space="preserve">Having reviewed and validated the 31st January 2001 UK Power Curves and considered the appropriateness of any significant changes in inputs and assumptions, we conclude the curves are fairly constructed with an objective methodology, using the latest data, where available, and are consistent with relevant market information. The profit for the month of January was </w:t>
      </w:r>
      <w:r>
        <w:rPr>
          <w:rFonts w:cs="Times New Roman" w:ascii="Times New Roman" w:hAnsi="Times New Roman"/>
          <w:b/>
        </w:rPr>
        <w:t>£18.6m</w:t>
      </w:r>
      <w:r>
        <w:rPr>
          <w:rFonts w:cs="Times New Roman" w:ascii="Times New Roman" w:hAnsi="Times New Roman"/>
        </w:rPr>
        <w:t xml:space="preserve"> (December  £35.5m profit) and the t</w:t>
      </w:r>
      <w:r>
        <w:rPr>
          <w:rFonts w:cs="Times New Roman" w:ascii="Times New Roman" w:hAnsi="Times New Roman"/>
          <w:b/>
        </w:rPr>
        <w:t>otal net assets</w:t>
      </w:r>
      <w:r>
        <w:rPr>
          <w:rFonts w:cs="Times New Roman" w:ascii="Times New Roman" w:hAnsi="Times New Roman"/>
        </w:rPr>
        <w:t xml:space="preserve"> were </w:t>
      </w:r>
      <w:r>
        <w:rPr>
          <w:rFonts w:cs="Times New Roman" w:ascii="Times New Roman" w:hAnsi="Times New Roman"/>
          <w:b/>
        </w:rPr>
        <w:t xml:space="preserve">£362.8m </w:t>
      </w:r>
      <w:r>
        <w:rPr>
          <w:rFonts w:cs="Times New Roman" w:ascii="Times New Roman" w:hAnsi="Times New Roman"/>
        </w:rPr>
        <w:t>(December  £344.1m).</w:t>
      </w:r>
    </w:p>
    <w:p>
      <w:pPr>
        <w:pStyle w:val="MessageHeader"/>
        <w:numPr>
          <w:ilvl w:val="0"/>
          <w:numId w:val="0"/>
        </w:numPr>
        <w:tabs>
          <w:tab w:val="clear" w:pos="720"/>
          <w:tab w:val="left" w:pos="0" w:leader="none"/>
        </w:tabs>
        <w:ind w:hanging="0" w:start="0" w:end="0"/>
        <w:outlineLvl w:val="0"/>
        <w:rPr/>
      </w:pPr>
      <w:r>
        <w:rPr>
          <w:rFonts w:cs="Times New Roman" w:ascii="Times New Roman" w:hAnsi="Times New Roman"/>
        </w:rPr>
        <w:t xml:space="preserve">Of the profit of  </w:t>
      </w:r>
      <w:r>
        <w:rPr>
          <w:rFonts w:cs="Times New Roman" w:ascii="Times New Roman" w:hAnsi="Times New Roman"/>
          <w:b/>
        </w:rPr>
        <w:t>£18.6m the main drivers were:</w:t>
      </w:r>
    </w:p>
    <w:p>
      <w:pPr>
        <w:pStyle w:val="MessageHeader"/>
        <w:numPr>
          <w:ilvl w:val="0"/>
          <w:numId w:val="6"/>
        </w:numPr>
        <w:tabs>
          <w:tab w:val="clear" w:pos="720"/>
          <w:tab w:val="left" w:pos="0" w:leader="none"/>
        </w:tabs>
        <w:rPr>
          <w:rFonts w:ascii="Times New Roman" w:hAnsi="Times New Roman" w:cs="Times New Roman"/>
        </w:rPr>
      </w:pPr>
      <w:r>
        <w:rPr>
          <w:rFonts w:cs="Times New Roman" w:ascii="Times New Roman" w:hAnsi="Times New Roman"/>
          <w:b/>
        </w:rPr>
        <w:t>£11.5m profit on forward prices</w:t>
      </w:r>
    </w:p>
    <w:p>
      <w:pPr>
        <w:pStyle w:val="MessageHeader"/>
        <w:numPr>
          <w:ilvl w:val="0"/>
          <w:numId w:val="6"/>
        </w:numPr>
        <w:tabs>
          <w:tab w:val="clear" w:pos="720"/>
          <w:tab w:val="left" w:pos="0" w:leader="none"/>
        </w:tabs>
        <w:rPr>
          <w:rFonts w:ascii="Times New Roman" w:hAnsi="Times New Roman" w:cs="Times New Roman"/>
          <w:b/>
        </w:rPr>
      </w:pPr>
      <w:r>
        <w:drawing>
          <wp:anchor behindDoc="0" distT="0" distB="0" distL="114935" distR="114935" simplePos="0" locked="0" layoutInCell="0" allowOverlap="1" relativeHeight="4">
            <wp:simplePos x="0" y="0"/>
            <wp:positionH relativeFrom="column">
              <wp:posOffset>0</wp:posOffset>
            </wp:positionH>
            <wp:positionV relativeFrom="paragraph">
              <wp:posOffset>231775</wp:posOffset>
            </wp:positionV>
            <wp:extent cx="7406640" cy="97282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6"/>
                    <a:srcRect l="-7" t="-52" r="-7" b="-52"/>
                    <a:stretch>
                      <a:fillRect/>
                    </a:stretch>
                  </pic:blipFill>
                  <pic:spPr bwMode="auto">
                    <a:xfrm>
                      <a:off x="0" y="0"/>
                      <a:ext cx="7406640" cy="972820"/>
                    </a:xfrm>
                    <a:prstGeom prst="rect">
                      <a:avLst/>
                    </a:prstGeom>
                    <a:noFill/>
                  </pic:spPr>
                </pic:pic>
              </a:graphicData>
            </a:graphic>
          </wp:anchor>
        </w:drawing>
      </w:r>
      <w:r>
        <w:rPr>
          <w:rFonts w:cs="Times New Roman" w:ascii="Times New Roman" w:hAnsi="Times New Roman"/>
          <w:b/>
        </w:rPr>
        <w:t>£7.1m  profit due to Intra month  and Origination earnings</w:t>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Further details can be found in the profit and loss commentary under section C.</w:t>
      </w:r>
    </w:p>
    <w:p>
      <w:pPr>
        <w:pStyle w:val="MessageHeader"/>
        <w:tabs>
          <w:tab w:val="clear" w:pos="720"/>
          <w:tab w:val="left" w:pos="0" w:leader="none"/>
        </w:tabs>
        <w:ind w:hanging="0" w:start="0" w:end="0"/>
        <w:rPr/>
      </w:pPr>
      <w:r>
        <w:rPr>
          <w:rFonts w:cs="Times New Roman" w:ascii="Times New Roman" w:hAnsi="Times New Roman"/>
        </w:rPr>
        <w:t xml:space="preserve">The </w:t>
      </w:r>
      <w:r>
        <w:rPr>
          <w:rFonts w:cs="Times New Roman" w:ascii="Times New Roman" w:hAnsi="Times New Roman"/>
          <w:b/>
        </w:rPr>
        <w:t xml:space="preserve">number of December trades </w:t>
      </w:r>
      <w:r>
        <w:rPr>
          <w:rFonts w:cs="Times New Roman" w:ascii="Times New Roman" w:hAnsi="Times New Roman"/>
        </w:rPr>
        <w:t>at</w:t>
      </w:r>
      <w:r>
        <w:rPr>
          <w:rFonts w:cs="Times New Roman" w:ascii="Times New Roman" w:hAnsi="Times New Roman"/>
          <w:b/>
        </w:rPr>
        <w:t xml:space="preserve"> 1,027</w:t>
      </w:r>
      <w:r>
        <w:rPr>
          <w:rFonts w:cs="Times New Roman" w:ascii="Times New Roman" w:hAnsi="Times New Roman"/>
        </w:rPr>
        <w:t xml:space="preserve"> </w:t>
      </w:r>
      <w:r>
        <w:rPr>
          <w:rFonts w:cs="Times New Roman" w:ascii="Times New Roman" w:hAnsi="Times New Roman"/>
          <w:b/>
        </w:rPr>
        <w:t xml:space="preserve"> </w:t>
      </w:r>
      <w:r>
        <w:rPr>
          <w:rFonts w:cs="Times New Roman" w:ascii="Times New Roman" w:hAnsi="Times New Roman"/>
        </w:rPr>
        <w:t>(December 762 trades)</w:t>
      </w:r>
      <w:r>
        <w:rPr>
          <w:rFonts w:cs="Times New Roman" w:ascii="Times New Roman" w:hAnsi="Times New Roman"/>
          <w:b/>
        </w:rPr>
        <w:t xml:space="preserve"> </w:t>
      </w:r>
      <w:r>
        <w:rPr>
          <w:rFonts w:cs="Times New Roman" w:ascii="Times New Roman" w:hAnsi="Times New Roman"/>
        </w:rPr>
        <w:t>was 35% greater than traded in November.</w:t>
      </w:r>
    </w:p>
    <w:p>
      <w:pPr>
        <w:pStyle w:val="MessageHeader"/>
        <w:tabs>
          <w:tab w:val="clear" w:pos="720"/>
          <w:tab w:val="left" w:pos="0" w:leader="none"/>
        </w:tabs>
        <w:ind w:hanging="0" w:start="0" w:end="0"/>
        <w:rPr/>
      </w:pPr>
      <w:r>
        <w:rPr>
          <w:rFonts w:cs="Times New Roman" w:ascii="Times New Roman" w:hAnsi="Times New Roman"/>
        </w:rPr>
        <w:t>The most actively traded was largely in the prompt periods  - 40</w:t>
      </w:r>
      <w:r>
        <w:rPr>
          <w:rFonts w:cs="Times New Roman" w:ascii="Times New Roman" w:hAnsi="Times New Roman"/>
          <w:b/>
        </w:rPr>
        <w:t xml:space="preserve">% of trades were for January, while 45% of deals were entered into for the Winter 2000 period.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The reduction in forward trading was due to the continued NETA uncertainty. There were doubts that there would unlikely to be any swift return to liquid post-NETA trading until all the uncertainties surrounding the GTMA and the NETA start date are finally resolved, even though  a  small number of National Balancing Point and Station Gate trades were entered into in the period.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trades in the period are summarised below:</w:t>
      </w:r>
    </w:p>
    <w:p>
      <w:pPr>
        <w:pStyle w:val="MessageHeader"/>
        <w:tabs>
          <w:tab w:val="clear" w:pos="720"/>
          <w:tab w:val="left" w:pos="0" w:leader="none"/>
        </w:tabs>
        <w:ind w:hanging="0" w:start="0" w:end="0"/>
        <w:rPr>
          <w:rFonts w:ascii="Times New Roman" w:hAnsi="Times New Roman" w:cs="Times New Roman"/>
          <w:lang w:val="en-CA" w:eastAsia="en-CA"/>
        </w:rPr>
      </w:pPr>
      <w:r>
        <w:rPr>
          <w:rFonts w:cs="Times New Roman" w:ascii="Times New Roman" w:hAnsi="Times New Roman"/>
          <w:lang w:val="en-CA" w:eastAsia="en-CA"/>
        </w:rPr>
        <w:drawing>
          <wp:anchor behindDoc="0" distT="0" distB="0" distL="114935" distR="114935" simplePos="0" locked="0" layoutInCell="1" allowOverlap="1" relativeHeight="5">
            <wp:simplePos x="0" y="0"/>
            <wp:positionH relativeFrom="column">
              <wp:posOffset>365760</wp:posOffset>
            </wp:positionH>
            <wp:positionV relativeFrom="paragraph">
              <wp:posOffset>77470</wp:posOffset>
            </wp:positionV>
            <wp:extent cx="6675120" cy="3375025"/>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7"/>
                    <a:srcRect l="-7" t="-14" r="-7" b="-14"/>
                    <a:stretch>
                      <a:fillRect/>
                    </a:stretch>
                  </pic:blipFill>
                  <pic:spPr bwMode="auto">
                    <a:xfrm>
                      <a:off x="0" y="0"/>
                      <a:ext cx="6675120" cy="3375025"/>
                    </a:xfrm>
                    <a:prstGeom prst="rect">
                      <a:avLst/>
                    </a:prstGeom>
                    <a:noFill/>
                  </pic:spPr>
                </pic:pic>
              </a:graphicData>
            </a:graphic>
          </wp:anchor>
        </w:drawing>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rPr>
        <w:t xml:space="preserve">No trades were completed with the UKPX in the review period. </w:t>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pPr>
      <w:r>
        <w:rPr>
          <w:rFonts w:cs="Times New Roman" w:ascii="Times New Roman" w:hAnsi="Times New Roman"/>
          <w:b/>
        </w:rPr>
        <w:t>During January 235 trades were completed on Enron Online (EOL)</w:t>
      </w:r>
      <w:r>
        <w:rPr>
          <w:rFonts w:cs="Times New Roman" w:ascii="Times New Roman" w:hAnsi="Times New Roman"/>
        </w:rPr>
        <w:t xml:space="preserve">  (180 during December) – 26% of total deals (December 27%). </w:t>
      </w:r>
      <w:r>
        <w:rPr>
          <w:rFonts w:cs="Times New Roman" w:ascii="Times New Roman" w:hAnsi="Times New Roman"/>
          <w:b/>
        </w:rPr>
        <w:t>Axia Energy Europe Limited</w:t>
      </w:r>
      <w:r>
        <w:rPr>
          <w:rFonts w:cs="Times New Roman" w:ascii="Times New Roman" w:hAnsi="Times New Roman"/>
        </w:rPr>
        <w:t xml:space="preserve"> were the   counter party </w:t>
      </w:r>
      <w:r>
        <w:rPr>
          <w:rFonts w:cs="Times New Roman" w:ascii="Times New Roman" w:hAnsi="Times New Roman"/>
          <w:b/>
        </w:rPr>
        <w:t>most frequently traded</w:t>
      </w:r>
      <w:r>
        <w:rPr>
          <w:rFonts w:cs="Times New Roman" w:ascii="Times New Roman" w:hAnsi="Times New Roman"/>
        </w:rPr>
        <w:t xml:space="preserve"> with </w:t>
      </w:r>
      <w:r>
        <w:rPr>
          <w:rFonts w:cs="Times New Roman" w:ascii="Times New Roman" w:hAnsi="Times New Roman"/>
          <w:b/>
        </w:rPr>
        <w:t>84 trades in the period .</w:t>
      </w:r>
    </w:p>
    <w:p>
      <w:pPr>
        <w:pStyle w:val="MessageHeader"/>
        <w:tabs>
          <w:tab w:val="clear" w:pos="720"/>
          <w:tab w:val="left" w:pos="0" w:leader="none"/>
        </w:tabs>
        <w:ind w:hanging="0" w:start="0" w:end="0"/>
        <w:rPr/>
      </w:pPr>
      <w:r>
        <w:rPr>
          <w:rFonts w:cs="Times New Roman" w:ascii="Times New Roman" w:hAnsi="Times New Roman"/>
        </w:rPr>
        <w:t xml:space="preserve">The </w:t>
      </w:r>
      <w:r>
        <w:rPr>
          <w:rFonts w:cs="Times New Roman" w:ascii="Times New Roman" w:hAnsi="Times New Roman"/>
          <w:b/>
        </w:rPr>
        <w:t>value</w:t>
      </w:r>
      <w:r>
        <w:rPr>
          <w:rFonts w:cs="Times New Roman" w:ascii="Times New Roman" w:hAnsi="Times New Roman"/>
        </w:rPr>
        <w:t xml:space="preserve"> of the trades for EOL at 29th December was £</w:t>
      </w:r>
      <w:r>
        <w:rPr>
          <w:rFonts w:cs="Times New Roman" w:ascii="Times New Roman" w:hAnsi="Times New Roman"/>
          <w:b/>
        </w:rPr>
        <w:t>(37.1)m</w:t>
      </w:r>
      <w:r>
        <w:rPr>
          <w:rFonts w:cs="Times New Roman" w:ascii="Times New Roman" w:hAnsi="Times New Roman"/>
        </w:rPr>
        <w:t xml:space="preserve">, (December  £(36.3)m) - </w:t>
      </w:r>
      <w:r>
        <w:rPr>
          <w:rFonts w:cs="Times New Roman" w:ascii="Times New Roman" w:hAnsi="Times New Roman"/>
          <w:b/>
        </w:rPr>
        <w:t>during December</w:t>
      </w:r>
      <w:r>
        <w:rPr>
          <w:rFonts w:cs="Times New Roman" w:ascii="Times New Roman" w:hAnsi="Times New Roman"/>
        </w:rPr>
        <w:t xml:space="preserve">  Enron has taken </w:t>
      </w:r>
      <w:r>
        <w:rPr>
          <w:rFonts w:cs="Times New Roman" w:ascii="Times New Roman" w:hAnsi="Times New Roman"/>
          <w:b/>
        </w:rPr>
        <w:t xml:space="preserve">a  long  position </w:t>
      </w:r>
      <w:r>
        <w:rPr>
          <w:rFonts w:cs="Times New Roman" w:ascii="Times New Roman" w:hAnsi="Times New Roman"/>
        </w:rPr>
        <w:t xml:space="preserve"> of approximately </w:t>
      </w:r>
      <w:r>
        <w:rPr>
          <w:rFonts w:cs="Times New Roman" w:ascii="Times New Roman" w:hAnsi="Times New Roman"/>
          <w:b/>
        </w:rPr>
        <w:t xml:space="preserve"> 0.8TWh</w:t>
      </w:r>
      <w:r>
        <w:rPr>
          <w:rFonts w:cs="Times New Roman" w:ascii="Times New Roman" w:hAnsi="Times New Roman"/>
        </w:rPr>
        <w:t xml:space="preserve"> on line. (December short position of 0.7 TWh)</w:t>
      </w:r>
    </w:p>
    <w:p>
      <w:pPr>
        <w:pStyle w:val="MessageHeader"/>
        <w:tabs>
          <w:tab w:val="clear" w:pos="720"/>
          <w:tab w:val="left" w:pos="0" w:leader="none"/>
        </w:tabs>
        <w:ind w:hanging="0" w:start="0" w:end="0"/>
        <w:rPr>
          <w:rFonts w:ascii="Times New Roman" w:hAnsi="Times New Roman" w:cs="Times New Roman"/>
        </w:rPr>
      </w:pPr>
      <w:r>
        <w:object w:dxaOrig="7681" w:dyaOrig="409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0pt;margin-top:30.1pt;width:415.5pt;height:210pt;mso-wrap-distance-left:9.05pt;mso-wrap-distance-right:9.05pt;mso-position-horizontal-relative:text;mso-position-vertical-relative:text" filled="f" o:ole="">
            <v:imagedata r:id="rId9" o:title=""/>
            <w10:wrap type="topAndBottom"/>
          </v:shape>
          <o:OLEObject Type="Embed" ProgID="Excel.Sheet.12" ShapeID="ole_rId8" DrawAspect="Content" ObjectID="_923678223" r:id="rId8"/>
        </w:object>
      </w:r>
      <w:r>
        <w:rPr>
          <w:rFonts w:cs="Times New Roman" w:ascii="Times New Roman" w:hAnsi="Times New Roman"/>
        </w:rPr>
        <w:t>The EOL portfolio split for the month are summarised below :</w:t>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pPr>
      <w:r>
        <w:rPr>
          <w:rFonts w:cs="Times New Roman" w:ascii="Times New Roman" w:hAnsi="Times New Roman"/>
          <w:b/>
        </w:rPr>
        <w:t xml:space="preserve">NETA – </w:t>
      </w:r>
      <w:r>
        <w:rPr>
          <w:rFonts w:cs="Times New Roman" w:ascii="Times New Roman" w:hAnsi="Times New Roman"/>
        </w:rPr>
        <w:t>The period focussed on discussions around the terms of the Grid Trade Master Agreements (“GTMA”) under NETA. Movement has been to define a schedule 5 to the GTMA contract, which will enable post NETA trades. This is designed to be a clause that will enable trades to be entered into at the Station Gate (“SG”) or the National Balancing Point (“NBP”). As this clause is designed to be a calculation of transmission losses and business use of system charges, which is effectively the cost of taking power from the Station Gate to the National Balancing Point, by electing to adopt  the clause the costs are passed through – like VAT – and the contract becomes a Station Gate contract. By not adopting the clause the contract would be treated as a full NBP price. In addition an Allen &amp; Overy appendix has been added to a number of trades that effectively convert EFA contracts to NBP contracts with physical trading terms.</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B - Curve Validation</w:t>
      </w:r>
    </w:p>
    <w:p>
      <w:pPr>
        <w:pStyle w:val="MessageHeader"/>
        <w:tabs>
          <w:tab w:val="clear" w:pos="720"/>
          <w:tab w:val="left" w:pos="0" w:leader="none"/>
        </w:tabs>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720" w:start="720"/>
        <w:outlineLvl w:val="0"/>
        <w:rPr>
          <w:rFonts w:ascii="Times New Roman" w:hAnsi="Times New Roman" w:cs="Times New Roman"/>
          <w:b/>
          <w:highlight w:val="green"/>
          <w:u w:val="single"/>
        </w:rPr>
      </w:pPr>
      <w:r>
        <w:rPr>
          <w:rFonts w:cs="Times New Roman" w:ascii="Times New Roman" w:hAnsi="Times New Roman"/>
          <w:b/>
          <w:u w:val="single"/>
        </w:rPr>
        <w:t>1.  Methodology</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The curves have been reviewed using the following criteria, and have been split in the same way as in the UK Power Market Forward Curves Document (December 2000).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ab/>
        <w:t xml:space="preserve">Broker Quote Variance  </w:t>
        <w:tab/>
        <w:tab/>
        <w:tab/>
        <w:t>Front End</w:t>
      </w:r>
    </w:p>
    <w:p>
      <w:pPr>
        <w:pStyle w:val="MessageHeader"/>
        <w:numPr>
          <w:ilvl w:val="0"/>
          <w:numId w:val="5"/>
        </w:numPr>
        <w:tabs>
          <w:tab w:val="clear" w:pos="720"/>
          <w:tab w:val="left" w:pos="0" w:leader="none"/>
        </w:tabs>
        <w:rPr>
          <w:rFonts w:ascii="Times New Roman" w:hAnsi="Times New Roman" w:cs="Times New Roman"/>
        </w:rPr>
      </w:pPr>
      <w:r>
        <w:rPr>
          <w:rFonts w:cs="Times New Roman" w:ascii="Times New Roman" w:hAnsi="Times New Roman"/>
        </w:rPr>
        <w:t xml:space="preserve">Historical Trades  / Press reports </w:t>
        <w:tab/>
        <w:tab/>
        <w:t>Middle</w:t>
      </w:r>
    </w:p>
    <w:p>
      <w:pPr>
        <w:pStyle w:val="MessageHeader"/>
        <w:numPr>
          <w:ilvl w:val="0"/>
          <w:numId w:val="5"/>
        </w:numPr>
        <w:tabs>
          <w:tab w:val="clear" w:pos="720"/>
          <w:tab w:val="left" w:pos="0" w:leader="none"/>
        </w:tabs>
        <w:rPr>
          <w:rFonts w:ascii="Times New Roman" w:hAnsi="Times New Roman" w:cs="Times New Roman"/>
        </w:rPr>
      </w:pPr>
      <w:r>
        <w:rPr>
          <w:rFonts w:cs="Times New Roman" w:ascii="Times New Roman" w:hAnsi="Times New Roman"/>
        </w:rPr>
        <w:t xml:space="preserve">Curve Construction   </w:t>
        <w:tab/>
        <w:tab/>
        <w:tab/>
        <w:t>Back End</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2.   Review – Power Delta</w:t>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object w:dxaOrig="8960" w:dyaOrig="4096">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7.2pt;margin-top:19.3pt;width:453pt;height:204.75pt;mso-wrap-distance-left:9.05pt;mso-wrap-distance-right:9.05pt;mso-position-horizontal-relative:text;mso-position-vertical-relative:text" filled="f" o:ole="">
            <v:imagedata r:id="rId11" o:title=""/>
            <w10:wrap type="topAndBottom"/>
          </v:shape>
          <o:OLEObject Type="Embed" ProgID="Excel.Sheet.12" ShapeID="ole_rId10" DrawAspect="Content" ObjectID="_1946032181" r:id="rId10"/>
        </w:object>
      </w:r>
      <w:r>
        <w:rPr>
          <w:rFonts w:cs="Times New Roman" w:ascii="Times New Roman" w:hAnsi="Times New Roman"/>
        </w:rPr>
        <w:t>The changes in the curve for the month is reflected  below:</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2.1  Broker Quotes</w:t>
        <w:tab/>
        <w:tab/>
        <w:t xml:space="preserve"> </w:t>
        <w:tab/>
        <w:tab/>
        <w:t>Front End (March  2001  –  October 2003)</w:t>
      </w:r>
    </w:p>
    <w:p>
      <w:pPr>
        <w:pStyle w:val="MessageHeader"/>
        <w:numPr>
          <w:ilvl w:val="0"/>
          <w:numId w:val="0"/>
        </w:numPr>
        <w:tabs>
          <w:tab w:val="clear" w:pos="720"/>
          <w:tab w:val="left" w:pos="0" w:leader="none"/>
        </w:tabs>
        <w:ind w:hanging="0" w:start="0" w:end="0"/>
        <w:outlineLvl w:val="0"/>
        <w:rPr/>
      </w:pPr>
      <w:r>
        <w:rPr>
          <w:rFonts w:cs="Times New Roman" w:ascii="Times New Roman" w:hAnsi="Times New Roman"/>
        </w:rPr>
        <w:t>Broker prices that were available from PH Energy Analysis Limited for different load shapes and time periods were compared with the curve as at 31</w:t>
      </w:r>
      <w:r>
        <w:rPr>
          <w:rFonts w:cs="Times New Roman" w:ascii="Times New Roman" w:hAnsi="Times New Roman"/>
          <w:vertAlign w:val="superscript"/>
        </w:rPr>
        <w:t>st</w:t>
      </w:r>
      <w:r>
        <w:rPr>
          <w:rFonts w:cs="Times New Roman" w:ascii="Times New Roman" w:hAnsi="Times New Roman"/>
        </w:rPr>
        <w:t xml:space="preserve">  January 2001.The total implied </w:t>
      </w:r>
      <w:r>
        <w:rPr>
          <w:rFonts w:cs="Times New Roman" w:ascii="Times New Roman" w:hAnsi="Times New Roman"/>
          <w:b/>
        </w:rPr>
        <w:t xml:space="preserve">understatement of profits was estimated to be £33k </w:t>
      </w:r>
      <w:r>
        <w:rPr>
          <w:rFonts w:cs="Times New Roman" w:ascii="Times New Roman" w:hAnsi="Times New Roman"/>
        </w:rPr>
        <w:t>(December £91k understated) which was considered immaterial.</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The market curve for April Annual was 13p below the broker quotes, giving an estimated overstatement of £63k, Summer and Winter 02 were 11p and 5p above the broker quotes, giving an understatement of £24k and £73k respectively. Other variances, totalling £11k overstated was immaterial.</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This method of validation is only relevant for the period for which quotes were available.  Therefore, this method only verifies the curve for the first 18 months.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The analysis of the broker quotes for the front end of the curve over the quarter has shown that the traders curves have been consistent. The large movements in the market have been evidenced via the broker quotes, and matched daily to the Enron curves. </w:t>
      </w:r>
    </w:p>
    <w:p>
      <w:pPr>
        <w:pStyle w:val="MessageHeader"/>
        <w:tabs>
          <w:tab w:val="clear" w:pos="720"/>
          <w:tab w:val="left" w:pos="0" w:leader="none"/>
        </w:tabs>
        <w:ind w:hanging="0" w:start="0" w:end="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b/>
          <w:u w:val="single"/>
        </w:rPr>
        <w:t xml:space="preserve">2.2  Historical Trades  </w:t>
        <w:tab/>
        <w:tab/>
        <w:tab/>
        <w:t>Middle ( 2003 – 2010)</w:t>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t>NETA concerns continued to have a major impact on longer term trading. Only one trade was completed in the period a three year March 01 buy of 100MW at £19.40. This is a National Balancing Point trade which generated origination of £630k. This indicted that the curve was understated for the term of this contract. Even though the curve did not move in January it has been reduced significantly in the early part of February to bring the PPP position to a NBP curve. It has been noted that the curve has only moved to the extent of trades entered into (March 2003). The curve to 2010 still needs to be re-marked.</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 xml:space="preserve"> </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 xml:space="preserve">2.3  Curve Construction  </w:t>
        <w:tab/>
        <w:tab/>
        <w:tab/>
        <w:t>Back End (2010-2025)</w:t>
      </w:r>
    </w:p>
    <w:p>
      <w:pPr>
        <w:pStyle w:val="MessageHeader"/>
        <w:tabs>
          <w:tab w:val="clear" w:pos="720"/>
          <w:tab w:val="left" w:pos="0" w:leader="none"/>
        </w:tabs>
        <w:ind w:hanging="0" w:start="0" w:end="0"/>
        <w:rPr/>
      </w:pPr>
      <w:r>
        <w:rPr>
          <w:rFonts w:cs="Times New Roman" w:ascii="Times New Roman" w:hAnsi="Times New Roman"/>
          <w:b/>
        </w:rPr>
        <w:t>The</w:t>
      </w:r>
      <w:r>
        <w:rPr>
          <w:rFonts w:cs="Times New Roman" w:ascii="Times New Roman" w:hAnsi="Times New Roman"/>
        </w:rPr>
        <w:t xml:space="preserve"> </w:t>
      </w:r>
      <w:r>
        <w:rPr>
          <w:rFonts w:cs="Times New Roman" w:ascii="Times New Roman" w:hAnsi="Times New Roman"/>
          <w:b/>
        </w:rPr>
        <w:t>back end of the curve did not move during January</w:t>
      </w:r>
      <w:r>
        <w:rPr>
          <w:rFonts w:cs="Times New Roman" w:ascii="Times New Roman" w:hAnsi="Times New Roman"/>
        </w:rPr>
        <w:t xml:space="preserve">.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Over the long term the curve is partitioned  by considering the long-term cost of producing electricity.  Using the Gas Forward curve and the latest economics for a 1200MW plant and using Enron’s forecast market heat rate curve it is possible to create a forward cost of power from the latest CCGT i.e. the most efficient plant available.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Full details and support are documented in the Power Market Forward Curves Document (December 2000) .</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3 Review – Other Risk Variables</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Interest rate risk is not reviewed as all P&amp;L derived from this is passed to the Interest rate book.  The UK Power book has in this quarter accrued interest from the NP Accrual Book. This interest is then swapped to the Interest Rate Desk  to offset against the negative theta cash flows on the out of the money PPA contract.</w:t>
      </w:r>
    </w:p>
    <w:p>
      <w:pPr>
        <w:pStyle w:val="MessageHeader"/>
        <w:tabs>
          <w:tab w:val="clear" w:pos="720"/>
          <w:tab w:val="left" w:pos="0" w:leader="none"/>
        </w:tabs>
        <w:ind w:hanging="0" w:start="0" w:end="0"/>
        <w:rPr/>
      </w:pPr>
      <w:r>
        <w:rPr>
          <w:rFonts w:cs="Times New Roman" w:ascii="Times New Roman" w:hAnsi="Times New Roman"/>
        </w:rPr>
        <w:t xml:space="preserve"> </w:t>
      </w:r>
      <w:r>
        <w:rPr>
          <w:rFonts w:cs="Times New Roman" w:ascii="Times New Roman" w:hAnsi="Times New Roman"/>
        </w:rPr>
        <w:t xml:space="preserve">The </w:t>
      </w:r>
      <w:r>
        <w:rPr>
          <w:rFonts w:cs="Times New Roman" w:ascii="Times New Roman" w:hAnsi="Times New Roman"/>
          <w:b/>
        </w:rPr>
        <w:t>present value</w:t>
      </w:r>
      <w:r>
        <w:rPr>
          <w:rFonts w:cs="Times New Roman" w:ascii="Times New Roman" w:hAnsi="Times New Roman"/>
        </w:rPr>
        <w:t xml:space="preserve"> of </w:t>
      </w:r>
      <w:r>
        <w:rPr>
          <w:rFonts w:cs="Times New Roman" w:ascii="Times New Roman" w:hAnsi="Times New Roman"/>
          <w:b/>
        </w:rPr>
        <w:t>options</w:t>
      </w:r>
      <w:r>
        <w:rPr>
          <w:rFonts w:cs="Times New Roman" w:ascii="Times New Roman" w:hAnsi="Times New Roman"/>
        </w:rPr>
        <w:t xml:space="preserve"> and </w:t>
      </w:r>
      <w:r>
        <w:rPr>
          <w:rFonts w:cs="Times New Roman" w:ascii="Times New Roman" w:hAnsi="Times New Roman"/>
          <w:b/>
        </w:rPr>
        <w:t>swaptions</w:t>
      </w:r>
      <w:r>
        <w:rPr>
          <w:rFonts w:cs="Times New Roman" w:ascii="Times New Roman" w:hAnsi="Times New Roman"/>
        </w:rPr>
        <w:t xml:space="preserve">  was </w:t>
      </w:r>
      <w:r>
        <w:rPr>
          <w:rFonts w:cs="Times New Roman" w:ascii="Times New Roman" w:hAnsi="Times New Roman"/>
          <w:b/>
        </w:rPr>
        <w:t>£(15.3)</w:t>
      </w:r>
      <w:r>
        <w:rPr>
          <w:rFonts w:cs="Times New Roman" w:ascii="Times New Roman" w:hAnsi="Times New Roman"/>
        </w:rPr>
        <w:t xml:space="preserve">m (December £(15.0)m) with </w:t>
      </w:r>
      <w:r>
        <w:rPr>
          <w:rFonts w:cs="Times New Roman" w:ascii="Times New Roman" w:hAnsi="Times New Roman"/>
          <w:b/>
        </w:rPr>
        <w:t>maturities</w:t>
      </w:r>
      <w:r>
        <w:rPr>
          <w:rFonts w:cs="Times New Roman" w:ascii="Times New Roman" w:hAnsi="Times New Roman"/>
        </w:rPr>
        <w:t xml:space="preserve"> going out to </w:t>
      </w:r>
      <w:r>
        <w:rPr>
          <w:rFonts w:cs="Times New Roman" w:ascii="Times New Roman" w:hAnsi="Times New Roman"/>
          <w:b/>
        </w:rPr>
        <w:t xml:space="preserve">October 2005 </w:t>
      </w:r>
      <w:r>
        <w:rPr>
          <w:rFonts w:cs="Times New Roman" w:ascii="Times New Roman" w:hAnsi="Times New Roman"/>
        </w:rPr>
        <w:t xml:space="preserve">(December  -  October 2005) </w:t>
      </w:r>
    </w:p>
    <w:p>
      <w:pPr>
        <w:pStyle w:val="MessageHeader"/>
        <w:tabs>
          <w:tab w:val="clear" w:pos="720"/>
          <w:tab w:val="left" w:pos="0" w:leader="none"/>
        </w:tabs>
        <w:ind w:hanging="0" w:start="0" w:end="0"/>
        <w:rPr/>
      </w:pPr>
      <w:r>
        <w:rPr>
          <w:rFonts w:cs="Times New Roman" w:ascii="Times New Roman" w:hAnsi="Times New Roman"/>
        </w:rPr>
        <w:t xml:space="preserve">There are </w:t>
      </w:r>
      <w:r>
        <w:rPr>
          <w:rFonts w:cs="Times New Roman" w:ascii="Times New Roman" w:hAnsi="Times New Roman"/>
          <w:b/>
        </w:rPr>
        <w:t>no market quotes</w:t>
      </w:r>
      <w:r>
        <w:rPr>
          <w:rFonts w:cs="Times New Roman" w:ascii="Times New Roman" w:hAnsi="Times New Roman"/>
        </w:rPr>
        <w:t xml:space="preserve"> for </w:t>
      </w:r>
      <w:r>
        <w:rPr>
          <w:rFonts w:cs="Times New Roman" w:ascii="Times New Roman" w:hAnsi="Times New Roman"/>
          <w:b/>
        </w:rPr>
        <w:t>implied volatilities</w:t>
      </w:r>
      <w:r>
        <w:rPr>
          <w:rFonts w:cs="Times New Roman" w:ascii="Times New Roman" w:hAnsi="Times New Roman"/>
        </w:rPr>
        <w:t>. Trades are compared to volatilities implied from option trades completed or reported in the month to ensure consistency. Volatility ladders were</w:t>
      </w:r>
      <w:r>
        <w:rPr>
          <w:rFonts w:cs="Times New Roman" w:ascii="Times New Roman" w:hAnsi="Times New Roman"/>
          <w:i/>
        </w:rPr>
        <w:t xml:space="preserve"> </w:t>
      </w:r>
      <w:r>
        <w:rPr>
          <w:rFonts w:cs="Times New Roman" w:ascii="Times New Roman" w:hAnsi="Times New Roman"/>
        </w:rPr>
        <w:t>calculated to quantify the sensitivity of the portfolio to volatility moves.</w:t>
      </w:r>
      <w:r>
        <w:rPr>
          <w:rFonts w:cs="Times New Roman" w:ascii="Times New Roman" w:hAnsi="Times New Roman"/>
          <w:i/>
        </w:rPr>
        <w:t xml:space="preserve"> </w:t>
      </w:r>
      <w:r>
        <w:rPr>
          <w:rFonts w:cs="Times New Roman" w:ascii="Times New Roman" w:hAnsi="Times New Roman"/>
        </w:rPr>
        <w:t xml:space="preserve">Enron is </w:t>
      </w:r>
      <w:r>
        <w:rPr>
          <w:rFonts w:cs="Times New Roman" w:ascii="Times New Roman" w:hAnsi="Times New Roman"/>
          <w:b/>
        </w:rPr>
        <w:t>net long</w:t>
      </w:r>
      <w:r>
        <w:rPr>
          <w:rFonts w:cs="Times New Roman" w:ascii="Times New Roman" w:hAnsi="Times New Roman"/>
          <w:b/>
          <w:i/>
        </w:rPr>
        <w:t xml:space="preserve"> </w:t>
      </w:r>
      <w:r>
        <w:rPr>
          <w:rFonts w:cs="Times New Roman" w:ascii="Times New Roman" w:hAnsi="Times New Roman"/>
          <w:b/>
        </w:rPr>
        <w:t xml:space="preserve">volatility – </w:t>
      </w:r>
      <w:r>
        <w:rPr>
          <w:rFonts w:cs="Times New Roman" w:ascii="Times New Roman" w:hAnsi="Times New Roman"/>
          <w:i/>
        </w:rPr>
        <w:t>.</w:t>
      </w:r>
      <w:r>
        <w:rPr>
          <w:rFonts w:cs="Times New Roman" w:ascii="Times New Roman" w:hAnsi="Times New Roman"/>
        </w:rPr>
        <w:t xml:space="preserve"> For a base load </w:t>
      </w:r>
      <w:r>
        <w:rPr>
          <w:rFonts w:cs="Times New Roman" w:ascii="Times New Roman" w:hAnsi="Times New Roman"/>
          <w:b/>
        </w:rPr>
        <w:t>volatility move of +/- 1%</w:t>
      </w:r>
      <w:r>
        <w:rPr>
          <w:rFonts w:cs="Times New Roman" w:ascii="Times New Roman" w:hAnsi="Times New Roman"/>
        </w:rPr>
        <w:t xml:space="preserve"> the </w:t>
      </w:r>
      <w:r>
        <w:rPr>
          <w:rFonts w:cs="Times New Roman" w:ascii="Times New Roman" w:hAnsi="Times New Roman"/>
          <w:b/>
        </w:rPr>
        <w:t>implied P&amp;L</w:t>
      </w:r>
      <w:r>
        <w:rPr>
          <w:rFonts w:cs="Times New Roman" w:ascii="Times New Roman" w:hAnsi="Times New Roman"/>
        </w:rPr>
        <w:t xml:space="preserve"> would be a </w:t>
      </w:r>
      <w:r>
        <w:rPr>
          <w:rFonts w:cs="Times New Roman" w:ascii="Times New Roman" w:hAnsi="Times New Roman"/>
          <w:b/>
        </w:rPr>
        <w:t>profit of £80k</w:t>
      </w:r>
      <w:r>
        <w:rPr>
          <w:rFonts w:cs="Times New Roman" w:ascii="Times New Roman" w:hAnsi="Times New Roman"/>
        </w:rPr>
        <w:t xml:space="preserve"> / loss of </w:t>
      </w:r>
      <w:r>
        <w:rPr>
          <w:rFonts w:cs="Times New Roman" w:ascii="Times New Roman" w:hAnsi="Times New Roman"/>
          <w:b/>
        </w:rPr>
        <w:t>£84k respectively</w:t>
      </w:r>
      <w:r>
        <w:rPr>
          <w:rFonts w:cs="Times New Roman" w:ascii="Times New Roman" w:hAnsi="Times New Roman"/>
        </w:rPr>
        <w:t xml:space="preserve"> (November profit of £87k / loss of £93k) For a  </w:t>
      </w:r>
      <w:r>
        <w:rPr>
          <w:rFonts w:cs="Times New Roman" w:ascii="Times New Roman" w:hAnsi="Times New Roman"/>
          <w:b/>
        </w:rPr>
        <w:t>move of +/- 5%</w:t>
      </w:r>
      <w:r>
        <w:rPr>
          <w:rFonts w:cs="Times New Roman" w:ascii="Times New Roman" w:hAnsi="Times New Roman"/>
        </w:rPr>
        <w:t xml:space="preserve"> the </w:t>
      </w:r>
      <w:r>
        <w:rPr>
          <w:rFonts w:cs="Times New Roman" w:ascii="Times New Roman" w:hAnsi="Times New Roman"/>
          <w:b/>
        </w:rPr>
        <w:t>implied P&amp;L</w:t>
      </w:r>
      <w:r>
        <w:rPr>
          <w:rFonts w:cs="Times New Roman" w:ascii="Times New Roman" w:hAnsi="Times New Roman"/>
        </w:rPr>
        <w:t xml:space="preserve"> would be a </w:t>
      </w:r>
      <w:r>
        <w:rPr>
          <w:rFonts w:cs="Times New Roman" w:ascii="Times New Roman" w:hAnsi="Times New Roman"/>
          <w:b/>
        </w:rPr>
        <w:t>profit</w:t>
      </w:r>
      <w:r>
        <w:rPr>
          <w:rFonts w:cs="Times New Roman" w:ascii="Times New Roman" w:hAnsi="Times New Roman"/>
        </w:rPr>
        <w:t xml:space="preserve"> </w:t>
      </w:r>
      <w:r>
        <w:rPr>
          <w:rFonts w:cs="Times New Roman" w:ascii="Times New Roman" w:hAnsi="Times New Roman"/>
          <w:b/>
        </w:rPr>
        <w:t>of £362k/loss of £360k  respectively.  In relation to the size of the book the vega sensitivity is not considered material.</w:t>
      </w:r>
    </w:p>
    <w:p>
      <w:pPr>
        <w:pStyle w:val="BodyText"/>
        <w:spacing w:lineRule="auto" w:line="240"/>
        <w:rPr/>
      </w:pPr>
      <w:r>
        <w:rPr>
          <w:rFonts w:cs="Times New Roman" w:ascii="Times New Roman" w:hAnsi="Times New Roman"/>
        </w:rPr>
        <w:t xml:space="preserve">There were </w:t>
      </w:r>
      <w:r>
        <w:rPr>
          <w:rFonts w:cs="Times New Roman" w:ascii="Times New Roman" w:hAnsi="Times New Roman"/>
          <w:b/>
        </w:rPr>
        <w:t xml:space="preserve"> 22 swaptions / options traded this month</w:t>
      </w:r>
      <w:r>
        <w:rPr>
          <w:rFonts w:cs="Times New Roman" w:ascii="Times New Roman" w:hAnsi="Times New Roman"/>
        </w:rPr>
        <w:t xml:space="preserve"> by Enron (December 17) </w:t>
      </w:r>
    </w:p>
    <w:p>
      <w:pPr>
        <w:pStyle w:val="BodyText"/>
        <w:numPr>
          <w:ilvl w:val="0"/>
          <w:numId w:val="0"/>
        </w:numPr>
        <w:spacing w:lineRule="auto" w:line="240"/>
        <w:outlineLvl w:val="0"/>
        <w:rPr>
          <w:rFonts w:ascii="Times New Roman" w:hAnsi="Times New Roman" w:cs="Times New Roman"/>
          <w:b/>
          <w:u w:val="single"/>
        </w:rPr>
      </w:pPr>
      <w:r>
        <w:rPr>
          <w:rFonts w:cs="Times New Roman" w:ascii="Times New Roman" w:hAnsi="Times New Roman"/>
        </w:rPr>
        <w:t>Average results are reflected below – this demonstrates that vega on options reduce as expiration approaches. Therefore, a long-term option will always be more sensitive to a change in volatility than a short term option with similar contract specifications – the more time to expiration gives more time for volatility to take effect.</w:t>
      </w:r>
    </w:p>
    <w:p>
      <w:pPr>
        <w:pStyle w:val="BodyText"/>
        <w:numPr>
          <w:ilvl w:val="0"/>
          <w:numId w:val="0"/>
        </w:numPr>
        <w:spacing w:lineRule="auto" w:line="240"/>
        <w:outlineLvl w:val="0"/>
        <w:rPr>
          <w:rFonts w:ascii="Times New Roman" w:hAnsi="Times New Roman" w:cs="Times New Roman"/>
          <w:b/>
          <w:u w:val="single"/>
        </w:rPr>
      </w:pPr>
      <w:r>
        <w:rPr>
          <w:rFonts w:cs="Times New Roman" w:ascii="Times New Roman" w:hAnsi="Times New Roman"/>
          <w:b/>
          <w:u w:val="single"/>
        </w:rPr>
        <w:drawing>
          <wp:anchor behindDoc="0" distT="0" distB="0" distL="114935" distR="114935" simplePos="0" locked="0" layoutInCell="0" allowOverlap="1" relativeHeight="7">
            <wp:simplePos x="0" y="0"/>
            <wp:positionH relativeFrom="column">
              <wp:posOffset>-177165</wp:posOffset>
            </wp:positionH>
            <wp:positionV relativeFrom="paragraph">
              <wp:posOffset>514350</wp:posOffset>
            </wp:positionV>
            <wp:extent cx="5029200" cy="3178175"/>
            <wp:effectExtent l="0" t="0" r="0" b="0"/>
            <wp:wrapTopAndBottom/>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2"/>
                    <a:srcRect l="-8" t="-12" r="-8" b="-12"/>
                    <a:stretch>
                      <a:fillRect/>
                    </a:stretch>
                  </pic:blipFill>
                  <pic:spPr bwMode="auto">
                    <a:xfrm>
                      <a:off x="0" y="0"/>
                      <a:ext cx="5029200" cy="3178175"/>
                    </a:xfrm>
                    <a:prstGeom prst="rect">
                      <a:avLst/>
                    </a:prstGeom>
                    <a:noFill/>
                  </pic:spPr>
                </pic:pic>
              </a:graphicData>
            </a:graphic>
          </wp:anchor>
        </w:drawing>
      </w:r>
    </w:p>
    <w:p>
      <w:pPr>
        <w:pStyle w:val="BodyText"/>
        <w:numPr>
          <w:ilvl w:val="0"/>
          <w:numId w:val="0"/>
        </w:numPr>
        <w:spacing w:lineRule="auto" w:line="240"/>
        <w:outlineLvl w:val="0"/>
        <w:rPr>
          <w:rFonts w:ascii="Times New Roman" w:hAnsi="Times New Roman" w:cs="Times New Roman"/>
          <w:b/>
          <w:u w:val="single"/>
        </w:rPr>
      </w:pPr>
      <w:r>
        <w:rPr>
          <w:rFonts w:cs="Times New Roman" w:ascii="Times New Roman" w:hAnsi="Times New Roman"/>
          <w:b/>
          <w:u w:val="single"/>
        </w:rPr>
        <w:t>C – P&amp;L Commentary</w:t>
      </w:r>
    </w:p>
    <w:p>
      <w:pPr>
        <w:pStyle w:val="BodyText"/>
        <w:numPr>
          <w:ilvl w:val="0"/>
          <w:numId w:val="0"/>
        </w:numPr>
        <w:spacing w:lineRule="auto" w:line="240"/>
        <w:outlineLvl w:val="0"/>
        <w:rPr>
          <w:rFonts w:ascii="Times New Roman" w:hAnsi="Times New Roman" w:cs="Times New Roman"/>
          <w:color w:val="000000"/>
        </w:rPr>
      </w:pPr>
      <w:r>
        <w:rPr>
          <w:rFonts w:cs="Times New Roman" w:ascii="Times New Roman" w:hAnsi="Times New Roman"/>
          <w:b/>
          <w:color w:val="000000"/>
          <w:u w:val="single"/>
        </w:rPr>
        <w:t>1. Profit  and Loss changes</w:t>
      </w:r>
    </w:p>
    <w:p>
      <w:pPr>
        <w:pStyle w:val="BodyText"/>
        <w:numPr>
          <w:ilvl w:val="0"/>
          <w:numId w:val="0"/>
        </w:numPr>
        <w:spacing w:lineRule="auto" w:line="240"/>
        <w:outlineLvl w:val="0"/>
        <w:rPr>
          <w:rFonts w:ascii="Times New Roman" w:hAnsi="Times New Roman" w:cs="Times New Roman"/>
          <w:color w:val="000000"/>
        </w:rPr>
      </w:pPr>
      <w:r>
        <w:drawing>
          <wp:anchor behindDoc="0" distT="0" distB="0" distL="114935" distR="114935" simplePos="0" locked="0" layoutInCell="1" allowOverlap="1" relativeHeight="8">
            <wp:simplePos x="0" y="0"/>
            <wp:positionH relativeFrom="column">
              <wp:posOffset>0</wp:posOffset>
            </wp:positionH>
            <wp:positionV relativeFrom="paragraph">
              <wp:posOffset>285115</wp:posOffset>
            </wp:positionV>
            <wp:extent cx="6675120" cy="3282315"/>
            <wp:effectExtent l="0" t="0" r="0" b="0"/>
            <wp:wrapNone/>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3"/>
                    <a:srcRect l="-7" t="-14" r="-7" b="-14"/>
                    <a:stretch>
                      <a:fillRect/>
                    </a:stretch>
                  </pic:blipFill>
                  <pic:spPr bwMode="auto">
                    <a:xfrm>
                      <a:off x="0" y="0"/>
                      <a:ext cx="6675120" cy="3282315"/>
                    </a:xfrm>
                    <a:prstGeom prst="rect">
                      <a:avLst/>
                    </a:prstGeom>
                    <a:noFill/>
                  </pic:spPr>
                </pic:pic>
              </a:graphicData>
            </a:graphic>
          </wp:anchor>
        </w:drawing>
      </w:r>
      <w:r>
        <w:rPr>
          <w:rFonts w:cs="Times New Roman" w:ascii="Times New Roman" w:hAnsi="Times New Roman"/>
          <w:color w:val="000000"/>
        </w:rPr>
        <w:t xml:space="preserve">The P&amp;L for January was a profit of  </w:t>
      </w:r>
      <w:r>
        <w:rPr>
          <w:rFonts w:cs="Times New Roman" w:ascii="Times New Roman" w:hAnsi="Times New Roman"/>
          <w:b/>
          <w:color w:val="000000"/>
        </w:rPr>
        <w:t>£18,657,805  - Income drivers are summarised below</w:t>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drawing>
          <wp:anchor behindDoc="0" distT="0" distB="0" distL="114935" distR="114935" simplePos="0" locked="0" layoutInCell="0" allowOverlap="1" relativeHeight="9">
            <wp:simplePos x="0" y="0"/>
            <wp:positionH relativeFrom="column">
              <wp:posOffset>91440</wp:posOffset>
            </wp:positionH>
            <wp:positionV relativeFrom="paragraph">
              <wp:posOffset>449580</wp:posOffset>
            </wp:positionV>
            <wp:extent cx="6492240" cy="852805"/>
            <wp:effectExtent l="0" t="0" r="0" b="0"/>
            <wp:wrapTopAndBottom/>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14"/>
                    <a:srcRect l="-7" t="-52" r="-7" b="-52"/>
                    <a:stretch>
                      <a:fillRect/>
                    </a:stretch>
                  </pic:blipFill>
                  <pic:spPr bwMode="auto">
                    <a:xfrm>
                      <a:off x="0" y="0"/>
                      <a:ext cx="6492240" cy="852805"/>
                    </a:xfrm>
                    <a:prstGeom prst="rect">
                      <a:avLst/>
                    </a:prstGeom>
                    <a:noFill/>
                  </pic:spPr>
                </pic:pic>
              </a:graphicData>
            </a:graphic>
          </wp:anchor>
        </w:drawing>
      </w:r>
    </w:p>
    <w:p>
      <w:pPr>
        <w:pStyle w:val="BodyText"/>
        <w:spacing w:lineRule="auto" w:line="240"/>
        <w:rPr>
          <w:rFonts w:ascii="Times New Roman" w:hAnsi="Times New Roman" w:cs="Times New Roman"/>
          <w:color w:val="000000"/>
        </w:rPr>
      </w:pPr>
      <w:r>
        <w:rPr>
          <w:rFonts w:cs="Times New Roman" w:ascii="Times New Roman" w:hAnsi="Times New Roman"/>
          <w:color w:val="000000"/>
        </w:rPr>
        <w:t>The main changes for the month were:</w:t>
        <w:tab/>
      </w:r>
    </w:p>
    <w:p>
      <w:pPr>
        <w:pStyle w:val="BodyText"/>
        <w:numPr>
          <w:ilvl w:val="0"/>
          <w:numId w:val="2"/>
        </w:numPr>
        <w:tabs>
          <w:tab w:val="clear" w:pos="720"/>
          <w:tab w:val="left" w:pos="1080" w:leader="none"/>
        </w:tabs>
        <w:spacing w:lineRule="auto" w:line="240"/>
        <w:ind w:hanging="360" w:start="1080" w:end="0"/>
        <w:rPr>
          <w:rFonts w:ascii="Times New Roman" w:hAnsi="Times New Roman" w:cs="Times New Roman"/>
        </w:rPr>
      </w:pPr>
      <w:r>
        <w:rPr>
          <w:rFonts w:cs="Times New Roman" w:ascii="Times New Roman" w:hAnsi="Times New Roman"/>
          <w:b/>
        </w:rPr>
        <w:t xml:space="preserve">Delta  Profits of £11.5M  </w:t>
      </w:r>
      <w:r>
        <w:rPr>
          <w:rFonts w:cs="Times New Roman" w:ascii="Times New Roman" w:hAnsi="Times New Roman"/>
        </w:rPr>
        <w:t>The earnings in January were all generated in the prompt periods to March 2000. On our overall short position the curve has come down. The market has been extremely sensitive to the out turn prices in the period, whereby lower than anticipated day ahead out turns have driven down the February and march trading periods.</w:t>
      </w:r>
    </w:p>
    <w:p>
      <w:pPr>
        <w:pStyle w:val="BodyText"/>
        <w:numPr>
          <w:ilvl w:val="0"/>
          <w:numId w:val="2"/>
        </w:numPr>
        <w:tabs>
          <w:tab w:val="clear" w:pos="720"/>
          <w:tab w:val="left" w:pos="1080" w:leader="none"/>
        </w:tabs>
        <w:spacing w:lineRule="auto" w:line="240"/>
        <w:ind w:hanging="360" w:start="1080" w:end="0"/>
        <w:rPr>
          <w:rFonts w:ascii="Times New Roman" w:hAnsi="Times New Roman" w:cs="Times New Roman"/>
        </w:rPr>
      </w:pPr>
      <w:r>
        <w:rPr>
          <w:rFonts w:cs="Times New Roman" w:ascii="Times New Roman" w:hAnsi="Times New Roman"/>
          <w:b/>
        </w:rPr>
        <w:t xml:space="preserve">7.1m profit due to Intra month and Origination earnings </w:t>
      </w:r>
      <w:r>
        <w:rPr>
          <w:rFonts w:cs="Times New Roman" w:ascii="Times New Roman" w:hAnsi="Times New Roman"/>
        </w:rPr>
        <w:t>The prompt trading period – February – generated profits of £5.3 in the period. Out-turn prices have consistently fallen off in the month on the back of  bearish trading sentiment, increased system capacity, reduced demand and mild weather in the period.</w:t>
      </w:r>
    </w:p>
    <w:p>
      <w:pPr>
        <w:pStyle w:val="BodyText"/>
        <w:spacing w:lineRule="auto" w:line="240"/>
        <w:rPr>
          <w:rFonts w:ascii="Times New Roman" w:hAnsi="Times New Roman" w:cs="Times New Roman"/>
        </w:rPr>
      </w:pPr>
      <w:r>
        <w:rPr>
          <w:rFonts w:cs="Times New Roman" w:ascii="Times New Roman" w:hAnsi="Times New Roman"/>
        </w:rPr>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b/>
          <w:u w:val="single"/>
        </w:rPr>
        <w:t>Realised Profit</w:t>
      </w:r>
    </w:p>
    <w:p>
      <w:pPr>
        <w:pStyle w:val="BodyText"/>
        <w:numPr>
          <w:ilvl w:val="0"/>
          <w:numId w:val="0"/>
        </w:numPr>
        <w:spacing w:lineRule="auto" w:line="240"/>
        <w:ind w:hanging="0" w:start="0"/>
        <w:rPr/>
      </w:pPr>
      <w:r>
        <w:rPr>
          <w:rFonts w:cs="Times New Roman" w:ascii="Times New Roman" w:hAnsi="Times New Roman"/>
        </w:rPr>
        <w:t xml:space="preserve">The realised </w:t>
      </w:r>
      <w:r>
        <w:rPr>
          <w:rFonts w:cs="Times New Roman" w:ascii="Times New Roman" w:hAnsi="Times New Roman"/>
          <w:b/>
        </w:rPr>
        <w:t>profit</w:t>
      </w:r>
      <w:r>
        <w:rPr>
          <w:rFonts w:cs="Times New Roman" w:ascii="Times New Roman" w:hAnsi="Times New Roman"/>
        </w:rPr>
        <w:t xml:space="preserve"> for January was </w:t>
      </w:r>
      <w:r>
        <w:rPr>
          <w:rFonts w:cs="Times New Roman" w:ascii="Times New Roman" w:hAnsi="Times New Roman"/>
          <w:b/>
        </w:rPr>
        <w:t>£18.1m</w:t>
      </w:r>
      <w:r>
        <w:rPr>
          <w:rFonts w:cs="Times New Roman" w:ascii="Times New Roman" w:hAnsi="Times New Roman"/>
        </w:rPr>
        <w:t xml:space="preserve"> (December 1.0m profit).</w:t>
      </w:r>
    </w:p>
    <w:p>
      <w:pPr>
        <w:pStyle w:val="BodyText"/>
        <w:numPr>
          <w:ilvl w:val="0"/>
          <w:numId w:val="3"/>
        </w:numPr>
        <w:spacing w:lineRule="auto" w:line="240"/>
        <w:rPr>
          <w:rFonts w:ascii="Times New Roman" w:hAnsi="Times New Roman" w:cs="Times New Roman"/>
        </w:rPr>
      </w:pPr>
      <w:r>
        <w:rPr>
          <w:rFonts w:cs="Times New Roman" w:ascii="Times New Roman" w:hAnsi="Times New Roman"/>
        </w:rPr>
        <w:t xml:space="preserve">PPP </w:t>
      </w:r>
      <w:r>
        <w:rPr>
          <w:rFonts w:cs="Times New Roman" w:ascii="Times New Roman" w:hAnsi="Times New Roman"/>
          <w:b/>
        </w:rPr>
        <w:t>£18.1m</w:t>
      </w:r>
      <w:r>
        <w:rPr>
          <w:rFonts w:cs="Times New Roman" w:ascii="Times New Roman" w:hAnsi="Times New Roman"/>
        </w:rPr>
        <w:t xml:space="preserve"> profit  (December £1.0m loss)</w:t>
      </w:r>
    </w:p>
    <w:p>
      <w:pPr>
        <w:pStyle w:val="BodyText"/>
        <w:numPr>
          <w:ilvl w:val="0"/>
          <w:numId w:val="3"/>
        </w:numPr>
        <w:spacing w:lineRule="auto" w:line="240"/>
        <w:rPr>
          <w:rFonts w:ascii="Times New Roman" w:hAnsi="Times New Roman" w:cs="Times New Roman"/>
        </w:rPr>
      </w:pPr>
      <w:r>
        <w:rPr>
          <w:rFonts w:cs="Times New Roman" w:ascii="Times New Roman" w:hAnsi="Times New Roman"/>
        </w:rPr>
        <w:t xml:space="preserve">SMP </w:t>
      </w:r>
      <w:r>
        <w:rPr>
          <w:rFonts w:cs="Times New Roman" w:ascii="Times New Roman" w:hAnsi="Times New Roman"/>
          <w:b/>
        </w:rPr>
        <w:t>£0m</w:t>
      </w:r>
      <w:r>
        <w:rPr>
          <w:rFonts w:cs="Times New Roman" w:ascii="Times New Roman" w:hAnsi="Times New Roman"/>
        </w:rPr>
        <w:t xml:space="preserve"> gain (December £0m gain)</w:t>
      </w:r>
    </w:p>
    <w:p>
      <w:pPr>
        <w:pStyle w:val="BodyText"/>
        <w:numPr>
          <w:ilvl w:val="0"/>
          <w:numId w:val="3"/>
        </w:numPr>
        <w:spacing w:lineRule="auto" w:line="240"/>
        <w:rPr>
          <w:rFonts w:ascii="Times New Roman" w:hAnsi="Times New Roman" w:cs="Times New Roman"/>
        </w:rPr>
      </w:pPr>
      <w:r>
        <w:rPr>
          <w:rFonts w:cs="Times New Roman" w:ascii="Times New Roman" w:hAnsi="Times New Roman"/>
        </w:rPr>
        <w:t xml:space="preserve">LOLP </w:t>
      </w:r>
      <w:r>
        <w:rPr>
          <w:rFonts w:cs="Times New Roman" w:ascii="Times New Roman" w:hAnsi="Times New Roman"/>
          <w:b/>
        </w:rPr>
        <w:t>£0</w:t>
      </w:r>
      <w:r>
        <w:rPr>
          <w:rFonts w:cs="Times New Roman" w:ascii="Times New Roman" w:hAnsi="Times New Roman"/>
        </w:rPr>
        <w:t xml:space="preserve"> loss (December £0m gain)</w:t>
      </w:r>
    </w:p>
    <w:p>
      <w:pPr>
        <w:pStyle w:val="BodyText"/>
        <w:numPr>
          <w:ilvl w:val="0"/>
          <w:numId w:val="0"/>
        </w:numPr>
        <w:spacing w:lineRule="auto" w:line="240"/>
        <w:ind w:hanging="0" w:start="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ind w:hanging="0" w:start="0"/>
        <w:outlineLvl w:val="0"/>
        <w:rPr>
          <w:rFonts w:ascii="Times New Roman" w:hAnsi="Times New Roman" w:cs="Times New Roman"/>
        </w:rPr>
      </w:pPr>
      <w:r>
        <w:rPr>
          <w:rFonts w:cs="Times New Roman" w:ascii="Times New Roman" w:hAnsi="Times New Roman"/>
          <w:b/>
          <w:u w:val="single"/>
        </w:rPr>
        <w:t xml:space="preserve">3. Prudency    </w:t>
      </w:r>
    </w:p>
    <w:p>
      <w:pPr>
        <w:pStyle w:val="BodyText"/>
        <w:numPr>
          <w:ilvl w:val="0"/>
          <w:numId w:val="0"/>
        </w:numPr>
        <w:spacing w:lineRule="auto" w:line="240" w:before="0" w:after="0"/>
        <w:outlineLvl w:val="0"/>
        <w:rPr>
          <w:rFonts w:ascii="Times New Roman" w:hAnsi="Times New Roman" w:cs="Times New Roman"/>
        </w:rPr>
      </w:pPr>
      <w:r>
        <w:rPr>
          <w:rFonts w:cs="Times New Roman" w:ascii="Times New Roman" w:hAnsi="Times New Roman"/>
        </w:rPr>
        <w:t>None</w:t>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rPr>
      </w:pPr>
      <w:r>
        <w:rPr>
          <w:rFonts w:cs="Times New Roman" w:ascii="Times New Roman" w:hAnsi="Times New Roman"/>
          <w:b/>
          <w:u w:val="single"/>
        </w:rPr>
        <w:t>4. Monthly Curve &amp; Volumeric Movement</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numPr>
          <w:ilvl w:val="0"/>
          <w:numId w:val="4"/>
        </w:numPr>
        <w:spacing w:lineRule="auto" w:line="240" w:before="0" w:after="0"/>
        <w:rPr>
          <w:rFonts w:ascii="Times New Roman" w:hAnsi="Times New Roman" w:cs="Times New Roman"/>
        </w:rPr>
      </w:pPr>
      <w:r>
        <w:rPr>
          <w:rFonts w:cs="Times New Roman" w:ascii="Times New Roman" w:hAnsi="Times New Roman"/>
        </w:rPr>
        <w:t>Baseload prices for</w:t>
      </w:r>
      <w:r>
        <w:rPr>
          <w:rFonts w:cs="Times New Roman" w:ascii="Times New Roman" w:hAnsi="Times New Roman"/>
          <w:b/>
        </w:rPr>
        <w:t xml:space="preserve">  March 2001</w:t>
      </w:r>
      <w:r>
        <w:rPr>
          <w:rFonts w:cs="Times New Roman" w:ascii="Times New Roman" w:hAnsi="Times New Roman"/>
        </w:rPr>
        <w:t xml:space="preserve"> moved up marginally  by </w:t>
      </w:r>
      <w:r>
        <w:rPr>
          <w:rFonts w:cs="Times New Roman" w:ascii="Times New Roman" w:hAnsi="Times New Roman"/>
          <w:b/>
        </w:rPr>
        <w:t>£0.21/MWh</w:t>
      </w:r>
      <w:r>
        <w:rPr>
          <w:rFonts w:cs="Times New Roman" w:ascii="Times New Roman" w:hAnsi="Times New Roman"/>
        </w:rPr>
        <w:t xml:space="preserve"> on average – there was no change to any other month, with no shift in baseload prices.</w:t>
      </w:r>
    </w:p>
    <w:p>
      <w:pPr>
        <w:pStyle w:val="BodyText"/>
        <w:numPr>
          <w:ilvl w:val="0"/>
          <w:numId w:val="4"/>
        </w:numPr>
        <w:spacing w:lineRule="auto" w:line="240" w:before="0" w:after="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rPr>
      </w:pPr>
      <w:r>
        <w:rPr>
          <w:rFonts w:cs="Times New Roman" w:ascii="Times New Roman" w:hAnsi="Times New Roman"/>
        </w:rPr>
        <w:t xml:space="preserve">The most actively traded periods were: Winter 2000 (Long 390,380 MWhrs) Summer 2001 (Long 937,556 MWhrs ) Summer 2002 (Long 1,399,376 MWhrs)  </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rPr>
      </w:pPr>
      <w:r>
        <w:rPr>
          <w:rFonts w:cs="Times New Roman" w:ascii="Times New Roman" w:hAnsi="Times New Roman"/>
        </w:rPr>
        <w:t>The monthly change is reflected below:</w:t>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lang w:val="en-CA" w:eastAsia="en-CA"/>
        </w:rPr>
      </w:pPr>
      <w:r>
        <w:rPr>
          <w:rFonts w:cs="Times New Roman" w:ascii="Times New Roman" w:hAnsi="Times New Roman"/>
          <w:b/>
          <w:u w:val="single"/>
          <w:lang w:val="en-CA" w:eastAsia="en-CA"/>
        </w:rPr>
        <w:drawing>
          <wp:anchor behindDoc="0" distT="0" distB="0" distL="114935" distR="114935" simplePos="0" locked="0" layoutInCell="1" allowOverlap="1" relativeHeight="10">
            <wp:simplePos x="0" y="0"/>
            <wp:positionH relativeFrom="column">
              <wp:posOffset>91440</wp:posOffset>
            </wp:positionH>
            <wp:positionV relativeFrom="paragraph">
              <wp:posOffset>59690</wp:posOffset>
            </wp:positionV>
            <wp:extent cx="6239510" cy="2696210"/>
            <wp:effectExtent l="0" t="0" r="0" b="0"/>
            <wp:wrapNone/>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15"/>
                    <a:srcRect l="-6" t="-13" r="-6" b="-13"/>
                    <a:stretch>
                      <a:fillRect/>
                    </a:stretch>
                  </pic:blipFill>
                  <pic:spPr bwMode="auto">
                    <a:xfrm>
                      <a:off x="0" y="0"/>
                      <a:ext cx="6239510" cy="2696210"/>
                    </a:xfrm>
                    <a:prstGeom prst="rect">
                      <a:avLst/>
                    </a:prstGeom>
                    <a:noFill/>
                  </pic:spPr>
                </pic:pic>
              </a:graphicData>
            </a:graphic>
          </wp:anchor>
        </w:drawing>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ind w:start="45" w:end="0"/>
        <w:rPr>
          <w:rFonts w:ascii="Times New Roman" w:hAnsi="Times New Roman" w:cs="Times New Roman"/>
        </w:rPr>
      </w:pPr>
      <w:r>
        <w:rPr>
          <w:rFonts w:cs="Times New Roman" w:ascii="Times New Roman" w:hAnsi="Times New Roman"/>
        </w:rPr>
        <w:t>The additional length taken is due to the reduction in the Eastern Option position. The option spreads have narrowed in January,  driven  by the movement of the UK Gas curve.  The curve moved up sharply to 2006. The first year was static, the following 2 years rose 1.4p/therm, followed by a rise of 0.8p/therm – 0.4p/therm over the next 3 years. The winter summer spread also narrowed. Reasons for the curve shift have been identified as – Bullish sentiment, colder weather than earlier in the year and problems at the Brittania field.</w:t>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t>5. Energy Trends Electricity</w:t>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rPr/>
      </w:pPr>
      <w:r>
        <w:rPr>
          <w:rFonts w:cs="Times New Roman" w:ascii="Times New Roman" w:hAnsi="Times New Roman"/>
        </w:rPr>
        <w:t>The current MTM of the Energy Trends position as at 31</w:t>
      </w:r>
      <w:r>
        <w:rPr>
          <w:rFonts w:cs="Times New Roman" w:ascii="Times New Roman" w:hAnsi="Times New Roman"/>
          <w:vertAlign w:val="superscript"/>
        </w:rPr>
        <w:t>st</w:t>
      </w:r>
      <w:r>
        <w:rPr>
          <w:rFonts w:cs="Times New Roman" w:ascii="Times New Roman" w:hAnsi="Times New Roman"/>
        </w:rPr>
        <w:t xml:space="preserve"> January was £6,792,364 – December £6,675,821. No announcement has been made on the adoption of the Climate Change Levy (“CCL”), even though initial DTI feedback has indicated that the method of implementation is consistent with the assumptions made in  2000.</w:t>
      </w:r>
    </w:p>
    <w:p>
      <w:pPr>
        <w:pStyle w:val="BodyText"/>
        <w:numPr>
          <w:ilvl w:val="0"/>
          <w:numId w:val="0"/>
        </w:numPr>
        <w:spacing w:lineRule="auto" w:line="240"/>
        <w:ind w:end="-145"/>
        <w:outlineLvl w:val="0"/>
        <w:rPr>
          <w:rFonts w:ascii="Times New Roman" w:hAnsi="Times New Roman" w:cs="Times New Roman"/>
          <w:b/>
          <w:u w:val="single"/>
        </w:rPr>
      </w:pPr>
      <w:r>
        <w:rPr>
          <w:rFonts w:cs="Times New Roman" w:ascii="Times New Roman" w:hAnsi="Times New Roman"/>
          <w:b/>
          <w:u w:val="single"/>
        </w:rPr>
        <w:t>6. Value at Risk</w:t>
      </w:r>
    </w:p>
    <w:p>
      <w:pPr>
        <w:pStyle w:val="MessageHeader"/>
        <w:tabs>
          <w:tab w:val="clear" w:pos="720"/>
          <w:tab w:val="left" w:pos="0" w:leader="none"/>
        </w:tabs>
        <w:ind w:hanging="0" w:start="0" w:end="0"/>
        <w:rPr/>
      </w:pPr>
      <w:r>
        <w:rPr>
          <w:rFonts w:cs="Times New Roman" w:ascii="Times New Roman" w:hAnsi="Times New Roman"/>
        </w:rPr>
        <w:t>The 1day value at risk at 31</w:t>
      </w:r>
      <w:r>
        <w:rPr>
          <w:rFonts w:cs="Times New Roman" w:ascii="Times New Roman" w:hAnsi="Times New Roman"/>
          <w:vertAlign w:val="superscript"/>
        </w:rPr>
        <w:t>st</w:t>
      </w:r>
      <w:r>
        <w:rPr>
          <w:rFonts w:cs="Times New Roman" w:ascii="Times New Roman" w:hAnsi="Times New Roman"/>
        </w:rPr>
        <w:t xml:space="preserve"> January was £9,713,183</w:t>
      </w:r>
      <w:r>
        <w:rPr>
          <w:rFonts w:cs="Times New Roman" w:ascii="Times New Roman" w:hAnsi="Times New Roman"/>
          <w:b/>
        </w:rPr>
        <w:t xml:space="preserve"> </w:t>
      </w:r>
      <w:r>
        <w:rPr>
          <w:rFonts w:cs="Times New Roman" w:ascii="Times New Roman" w:hAnsi="Times New Roman"/>
        </w:rPr>
        <w:t>using a 5% 1tail confidence interval (December £11,134,717).  No violations occurred in the review period. The reduction in Value at Risk in the review period is reflective of the significant length taken in January.</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b/>
        </w:rPr>
      </w:pPr>
      <w:r>
        <w:rPr>
          <w:rFonts w:cs="Times New Roman" w:ascii="Times New Roman" w:hAnsi="Times New Roman"/>
          <w:b/>
        </w:rPr>
        <w:t>Appendix 1.</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rPr>
        <w:t>Broker Quotes Comparison</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2.</w:t>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rPr>
        <w:t xml:space="preserve">Curve shift impact and curve movement for PPP </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3.</w:t>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rPr>
        <w:t xml:space="preserve">Curve shift impact and curve movement for LOLP </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4.</w:t>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rPr>
        <w:t xml:space="preserve">Curve shift impact and curve movement for SMP </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5.</w:t>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rPr>
        <w:t xml:space="preserve">Delta Volumes </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6.</w:t>
      </w:r>
    </w:p>
    <w:p>
      <w:pPr>
        <w:pStyle w:val="Normal"/>
        <w:numPr>
          <w:ilvl w:val="0"/>
          <w:numId w:val="0"/>
        </w:numPr>
        <w:outlineLvl w:val="0"/>
        <w:rPr>
          <w:rFonts w:ascii="Times New Roman" w:hAnsi="Times New Roman" w:cs="Times New Roman"/>
        </w:rPr>
      </w:pPr>
      <w:r>
        <w:rPr>
          <w:rFonts w:cs="Times New Roman" w:ascii="Times New Roman" w:hAnsi="Times New Roman"/>
        </w:rPr>
        <w:t>P&amp;L analysis split.</w:t>
      </w:r>
    </w:p>
    <w:p>
      <w:pPr>
        <w:pStyle w:val="Normal"/>
        <w:rPr>
          <w:rFonts w:ascii="Times New Roman" w:hAnsi="Times New Roman" w:cs="Times New Roman"/>
        </w:rPr>
      </w:pPr>
      <w:r>
        <w:rPr>
          <w:rFonts w:cs="Times New Roman" w:ascii="Times New Roman" w:hAnsi="Times New Roman"/>
        </w:rPr>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7.</w:t>
      </w:r>
    </w:p>
    <w:p>
      <w:pPr>
        <w:pStyle w:val="Normal"/>
        <w:numPr>
          <w:ilvl w:val="0"/>
          <w:numId w:val="0"/>
        </w:numPr>
        <w:outlineLvl w:val="0"/>
        <w:rPr>
          <w:rFonts w:ascii="Times New Roman" w:hAnsi="Times New Roman" w:cs="Times New Roman"/>
        </w:rPr>
      </w:pPr>
      <w:r>
        <w:rPr>
          <w:rFonts w:cs="Times New Roman" w:ascii="Times New Roman" w:hAnsi="Times New Roman"/>
        </w:rPr>
        <w:t>Peak / Off Peak / Baseload monthly curve shift and P&amp;L analysis.</w:t>
      </w:r>
    </w:p>
    <w:p>
      <w:pPr>
        <w:pStyle w:val="Normal"/>
        <w:rPr>
          <w:rFonts w:ascii="Times New Roman" w:hAnsi="Times New Roman" w:cs="Times New Roman"/>
        </w:rPr>
      </w:pPr>
      <w:r>
        <w:rPr>
          <w:rFonts w:cs="Times New Roman" w:ascii="Times New Roman" w:hAnsi="Times New Roman"/>
        </w:rPr>
      </w:r>
    </w:p>
    <w:p>
      <w:pPr>
        <w:pStyle w:val="Normal"/>
        <w:numPr>
          <w:ilvl w:val="0"/>
          <w:numId w:val="0"/>
        </w:numPr>
        <w:outlineLvl w:val="0"/>
        <w:rPr>
          <w:rFonts w:ascii="Times New Roman" w:hAnsi="Times New Roman" w:cs="Times New Roman"/>
          <w:b/>
        </w:rPr>
      </w:pPr>
      <w:r>
        <w:rPr>
          <w:rFonts w:cs="Times New Roman" w:ascii="Times New Roman" w:hAnsi="Times New Roman"/>
          <w:b/>
        </w:rPr>
        <w:t>Appendix 8.</w:t>
      </w:r>
    </w:p>
    <w:p>
      <w:pPr>
        <w:pStyle w:val="Normal"/>
        <w:rPr>
          <w:rFonts w:ascii="Times New Roman" w:hAnsi="Times New Roman" w:cs="Times New Roman"/>
          <w:b/>
        </w:rPr>
      </w:pPr>
      <w:r>
        <w:rPr>
          <w:rFonts w:cs="Times New Roman" w:ascii="Times New Roman" w:hAnsi="Times New Roman"/>
          <w:b/>
        </w:rPr>
      </w:r>
    </w:p>
    <w:p>
      <w:pPr>
        <w:pStyle w:val="Normal"/>
        <w:numPr>
          <w:ilvl w:val="0"/>
          <w:numId w:val="0"/>
        </w:numPr>
        <w:outlineLvl w:val="0"/>
        <w:rPr>
          <w:rFonts w:ascii="Times New Roman" w:hAnsi="Times New Roman" w:cs="Times New Roman"/>
        </w:rPr>
      </w:pPr>
      <w:r>
        <w:rPr>
          <w:rFonts w:cs="Times New Roman" w:ascii="Times New Roman" w:hAnsi="Times New Roman"/>
        </w:rPr>
        <w:t>Graph to show amounts Settled per month and the book Profit for the month.</w:t>
      </w:r>
    </w:p>
    <w:sectPr>
      <w:headerReference w:type="default" r:id="rId16"/>
      <w:footerReference w:type="default" r:id="rId17"/>
      <w:type w:val="nextPage"/>
      <w:pgSz w:orient="landscape" w:w="16838" w:h="11906"/>
      <w:pgMar w:left="1440" w:right="1684" w:gutter="0" w:header="720" w:top="1797" w:footer="720" w:bottom="17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jc w:val="center"/>
      <w:rPr>
        <w:rFonts w:ascii="Times New Roman" w:hAnsi="Times New Roman" w:cs="Times New Roman"/>
        <w:sz w:val="28"/>
      </w:rPr>
    </w:pPr>
    <w:r>
      <w:rPr>
        <w:rFonts w:cs="Times New Roman" w:ascii="Times New Roman" w:hAnsi="Times New Roman"/>
        <w:sz w:val="28"/>
      </w:rPr>
      <w:t>UK Power – January 2001 Curve Validation and Profit and Loss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283"/>
        </w:tabs>
        <w:ind w:start="1003" w:hanging="283"/>
      </w:p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GB" w:bidi="ar-SA" w:eastAsia="zh-CN"/>
    </w:rPr>
  </w:style>
  <w:style w:type="paragraph" w:styleId="Heading1">
    <w:name w:val="heading 1"/>
    <w:basedOn w:val="HeadingBase"/>
    <w:next w:val="BodyText"/>
    <w:qFormat/>
    <w:pPr>
      <w:numPr>
        <w:ilvl w:val="0"/>
        <w:numId w:val="1"/>
      </w:numPr>
      <w:spacing w:lineRule="atLeast" w:line="200" w:before="0" w:after="220"/>
      <w:outlineLvl w:val="0"/>
    </w:pPr>
    <w:rPr>
      <w:sz w:val="22"/>
    </w:rPr>
  </w:style>
  <w:style w:type="paragraph" w:styleId="Heading2">
    <w:name w:val="heading 2"/>
    <w:basedOn w:val="HeadingBase"/>
    <w:next w:val="BodyText"/>
    <w:qFormat/>
    <w:pPr>
      <w:numPr>
        <w:ilvl w:val="1"/>
        <w:numId w:val="1"/>
      </w:numPr>
      <w:spacing w:lineRule="atLeast" w:line="200"/>
      <w:outlineLvl w:val="1"/>
    </w:pPr>
    <w:rPr/>
  </w:style>
  <w:style w:type="paragraph" w:styleId="Heading3">
    <w:name w:val="heading 3"/>
    <w:basedOn w:val="HeadingBase"/>
    <w:next w:val="BodyText"/>
    <w:qFormat/>
    <w:pPr>
      <w:numPr>
        <w:ilvl w:val="2"/>
        <w:numId w:val="1"/>
      </w:numPr>
      <w:ind w:hanging="0" w:start="360" w:end="0"/>
      <w:outlineLvl w:val="2"/>
    </w:pPr>
    <w:rPr>
      <w:spacing w:val="-5"/>
    </w:rPr>
  </w:style>
  <w:style w:type="paragraph" w:styleId="Heading4">
    <w:name w:val="heading 4"/>
    <w:basedOn w:val="HeadingBase"/>
    <w:next w:val="BodyText"/>
    <w:qFormat/>
    <w:pPr>
      <w:numPr>
        <w:ilvl w:val="3"/>
        <w:numId w:val="1"/>
      </w:numPr>
      <w:ind w:hanging="0" w:start="720" w:end="0"/>
      <w:outlineLvl w:val="3"/>
    </w:pPr>
    <w:rPr>
      <w:spacing w:val="-2"/>
      <w:sz w:val="18"/>
    </w:rPr>
  </w:style>
  <w:style w:type="paragraph" w:styleId="Heading5">
    <w:name w:val="heading 5"/>
    <w:basedOn w:val="HeadingBase"/>
    <w:next w:val="BodyText"/>
    <w:qFormat/>
    <w:pPr>
      <w:numPr>
        <w:ilvl w:val="4"/>
        <w:numId w:val="1"/>
      </w:numPr>
      <w:ind w:hanging="0" w:start="1080" w:end="0"/>
      <w:outlineLvl w:val="4"/>
    </w:pPr>
    <w:rPr>
      <w:spacing w:val="-2"/>
      <w:sz w:val="18"/>
    </w:rPr>
  </w:style>
  <w:style w:type="paragraph" w:styleId="Heading6">
    <w:name w:val="heading 6"/>
    <w:basedOn w:val="HeadingBase"/>
    <w:next w:val="BodyText"/>
    <w:qFormat/>
    <w:pPr>
      <w:numPr>
        <w:ilvl w:val="5"/>
        <w:numId w:val="1"/>
      </w:numPr>
      <w:ind w:hanging="0" w:start="1440" w:end="0"/>
      <w:outlineLvl w:val="5"/>
    </w:pPr>
    <w:rPr>
      <w:spacing w:val="-4"/>
      <w:sz w:val="18"/>
    </w:rPr>
  </w:style>
  <w:style w:type="paragraph" w:styleId="Heading7">
    <w:name w:val="heading 7"/>
    <w:basedOn w:val="HeadingBase"/>
    <w:next w:val="BodyText"/>
    <w:qFormat/>
    <w:pPr>
      <w:numPr>
        <w:ilvl w:val="6"/>
        <w:numId w:val="1"/>
      </w:numPr>
      <w:ind w:hanging="0" w:start="1800" w:end="0"/>
      <w:outlineLvl w:val="6"/>
    </w:pPr>
    <w:rPr>
      <w:spacing w:val="-4"/>
      <w:sz w:val="18"/>
    </w:rPr>
  </w:style>
  <w:style w:type="paragraph" w:styleId="Heading8">
    <w:name w:val="heading 8"/>
    <w:basedOn w:val="HeadingBase"/>
    <w:next w:val="BodyText"/>
    <w:qFormat/>
    <w:pPr>
      <w:numPr>
        <w:ilvl w:val="7"/>
        <w:numId w:val="1"/>
      </w:numPr>
      <w:ind w:hanging="0" w:start="2160" w:end="0"/>
      <w:outlineLvl w:val="7"/>
    </w:pPr>
    <w:rPr>
      <w:spacing w:val="-4"/>
      <w:sz w:val="18"/>
    </w:rPr>
  </w:style>
  <w:style w:type="paragraph" w:styleId="Heading9">
    <w:name w:val="heading 9"/>
    <w:basedOn w:val="HeadingBase"/>
    <w:next w:val="BodyText"/>
    <w:qFormat/>
    <w:pPr>
      <w:numPr>
        <w:ilvl w:val="8"/>
        <w:numId w:val="1"/>
      </w:numPr>
      <w:ind w:hanging="0" w:start="2520" w:end="0"/>
      <w:outlineLvl w:val="8"/>
    </w:pPr>
    <w:rPr>
      <w:spacing w:val="-4"/>
      <w:sz w:val="18"/>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z w:val="18"/>
    </w:rPr>
  </w:style>
  <w:style w:type="character" w:styleId="LineNumber">
    <w:name w:val="line number"/>
    <w:basedOn w:val="DefaultParagraphFont"/>
    <w:rPr>
      <w:sz w:val="18"/>
    </w:rPr>
  </w:style>
  <w:style w:type="character" w:styleId="PageNumber">
    <w:name w:val="page number"/>
    <w:basedOn w:val="DefaultParagraphFont"/>
    <w:rPr>
      <w:sz w:val="18"/>
    </w:rPr>
  </w:style>
  <w:style w:type="character" w:styleId="Superscript">
    <w:name w:val="Superscript"/>
    <w:qFormat/>
    <w:rPr>
      <w:vertAlign w:val="superscript"/>
    </w:rPr>
  </w:style>
  <w:style w:type="character" w:styleId="MessageHeaderLabel">
    <w:name w:val="Message Header Label"/>
    <w:qFormat/>
    <w:rPr>
      <w:rFonts w:ascii="Arial Black" w:hAnsi="Arial Black" w:cs="Arial Black"/>
      <w:spacing w:val="-10"/>
      <w:sz w:val="18"/>
    </w:rPr>
  </w:style>
  <w:style w:type="character" w:styleId="Emphasis">
    <w:name w:val="Emphasis"/>
    <w:qFormat/>
    <w:rPr>
      <w:rFonts w:ascii="Arial Black" w:hAnsi="Arial Black" w:cs="Arial Black"/>
      <w:sz w:val="18"/>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BlockQuotation">
    <w:name w:val="Block Quotation"/>
    <w:basedOn w:val="BodyText"/>
    <w:qFormat/>
    <w:pPr>
      <w:keepLines/>
      <w:ind w:hanging="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MessageHeaderFirst">
    <w:name w:val="Message Header First"/>
    <w:basedOn w:val="MessageHeader"/>
    <w:next w:val="MessageHeader"/>
    <w:qFormat/>
    <w:pPr>
      <w:spacing w:before="220" w:after="120"/>
    </w:pPr>
    <w:rPr/>
  </w:style>
  <w:style w:type="paragraph" w:styleId="EndnoteText">
    <w:name w:val="endnote text"/>
    <w:basedOn w:val="FootnoteBase"/>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FootnoteText">
    <w:name w:val="footnote text"/>
    <w:basedOn w:val="FootnoteBase"/>
    <w:pPr/>
    <w:rPr/>
  </w:style>
  <w:style w:type="paragraph" w:styleId="Header">
    <w:name w:val="header"/>
    <w:basedOn w:val="HeaderBase"/>
    <w:pPr>
      <w:spacing w:before="0" w:after="600"/>
    </w:pPr>
    <w:rPr/>
  </w:style>
  <w:style w:type="paragraph" w:styleId="ListBullet">
    <w:name w:val="List Bullet"/>
    <w:basedOn w:val="List"/>
    <w:qFormat/>
    <w:pPr>
      <w:numPr>
        <w:ilvl w:val="0"/>
        <w:numId w:val="7"/>
      </w:numPr>
      <w:ind w:hanging="360" w:start="720" w:end="720"/>
    </w:pPr>
    <w:rPr/>
  </w:style>
  <w:style w:type="paragraph" w:styleId="ListNumber">
    <w:name w:val="List Number"/>
    <w:basedOn w:val="List"/>
    <w:qFormat/>
    <w:pPr>
      <w:numPr>
        <w:ilvl w:val="0"/>
        <w:numId w:val="8"/>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numPr>
        <w:ilvl w:val="0"/>
        <w:numId w:val="9"/>
      </w:num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numPr>
        <w:ilvl w:val="0"/>
        <w:numId w:val="10"/>
      </w:numPr>
      <w:ind w:hanging="360" w:start="1080" w:end="720"/>
    </w:pPr>
    <w:rPr/>
  </w:style>
  <w:style w:type="paragraph" w:styleId="ListNumber3">
    <w:name w:val="List Number 3"/>
    <w:basedOn w:val="ListNumber"/>
    <w:qFormat/>
    <w:pPr>
      <w:numPr>
        <w:ilvl w:val="0"/>
        <w:numId w:val="11"/>
      </w:num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qFormat/>
    <w:pPr>
      <w:keepNext w:val="true"/>
      <w:spacing w:lineRule="atLeast" w:line="220"/>
    </w:pPr>
    <w:rPr/>
  </w:style>
  <w:style w:type="paragraph" w:styleId="CommentText">
    <w:name w:val="Comment Text"/>
    <w:basedOn w:val="FootnoteBase"/>
    <w:qFormat/>
    <w:pPr/>
    <w:rPr/>
  </w:style>
  <w:style w:type="paragraph" w:styleId="BodyText2">
    <w:name w:val="Body Text 2"/>
    <w:basedOn w:val="BodyText"/>
    <w:qFormat/>
    <w:pPr>
      <w:ind w:hanging="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ReturnAddress">
    <w:name w:val="Return Address"/>
    <w:basedOn w:val="Normal"/>
    <w:qFormat/>
    <w:pPr>
      <w:keepLines/>
      <w:tabs>
        <w:tab w:val="clear" w:pos="720"/>
        <w:tab w:val="left" w:pos="2640" w:leader="none"/>
      </w:tabs>
      <w:spacing w:lineRule="atLeast" w:line="200"/>
    </w:pPr>
    <w:rPr>
      <w:spacing w:val="-2"/>
      <w:sz w:val="16"/>
    </w:rPr>
  </w:style>
  <w:style w:type="paragraph" w:styleId="CompanyName">
    <w:name w:val="Company Name"/>
    <w:basedOn w:val="ReturnAddress"/>
    <w:qFormat/>
    <w:pPr>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Enclosure">
    <w:name w:val="Enclosure"/>
    <w:basedOn w:val="BodyText"/>
    <w:next w:val="Normal"/>
    <w:qFormat/>
    <w:pPr>
      <w:keepLines/>
      <w:spacing w:before="220" w:after="220"/>
      <w:jc w:val="start"/>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ListNumber4">
    <w:name w:val="List Number 4"/>
    <w:basedOn w:val="ListNumber"/>
    <w:qFormat/>
    <w:pPr>
      <w:numPr>
        <w:ilvl w:val="0"/>
        <w:numId w:val="12"/>
      </w:num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Body">
    <w:name w:val="Body"/>
    <w:basedOn w:val="Normal"/>
    <w:qFormat/>
    <w:pPr>
      <w:ind w:hanging="0" w:start="72" w:end="0"/>
    </w:pPr>
    <w:rPr>
      <w:color w:val="000080"/>
      <w:spacing w:val="0"/>
      <w:lang w:val="en-US"/>
    </w:rPr>
  </w:style>
  <w:style w:type="paragraph" w:styleId="BodyText3">
    <w:name w:val="Body Text 3"/>
    <w:basedOn w:val="Normal"/>
    <w:qFormat/>
    <w:pPr/>
    <w:rPr>
      <w:rFonts w:ascii="Times New Roman" w:hAnsi="Times New Roman" w:cs="Times New Roman"/>
      <w:color w:val="000080"/>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package" Target="embeddings/oleObject3.xlsx"/><Relationship Id="rId9" Type="http://schemas.openxmlformats.org/officeDocument/2006/relationships/image" Target="media/image4.wmf"/><Relationship Id="rId10" Type="http://schemas.openxmlformats.org/officeDocument/2006/relationships/package" Target="embeddings/oleObject4.xlsx"/><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image" Target="media/image8.wmf"/><Relationship Id="rId15" Type="http://schemas.openxmlformats.org/officeDocument/2006/relationships/image" Target="media/image9.wmf"/><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2001-02-05T08:50:00Z</dcterms:created>
  <dc:creator>Unknown</dc:creator>
  <dc:description/>
  <dc:language>en-CA</dc:language>
  <cp:lastModifiedBy>MWELLING</cp:lastModifiedBy>
  <cp:lastPrinted>2001-02-07T12:28:00Z</cp:lastPrinted>
  <dcterms:modified xsi:type="dcterms:W3CDTF">2001-02-08T15:15:00Z</dcterms:modified>
  <cp:revision>10</cp:revision>
  <dc:subject/>
  <dc:title>Helps you design a customized memo</dc:title>
</cp:coreProperties>
</file>