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28" w:type="dxa"/>
        <w:jc w:val="start"/>
        <w:tblInd w:w="0" w:type="dxa"/>
        <w:tblLayout w:type="fixed"/>
        <w:tblCellMar>
          <w:top w:w="0" w:type="dxa"/>
          <w:start w:w="108" w:type="dxa"/>
          <w:bottom w:w="0" w:type="dxa"/>
          <w:end w:w="108" w:type="dxa"/>
        </w:tblCellMar>
      </w:tblPr>
      <w:tblGrid>
        <w:gridCol w:w="3798"/>
        <w:gridCol w:w="6930"/>
      </w:tblGrid>
      <w:tr>
        <w:trPr/>
        <w:tc>
          <w:tcPr>
            <w:tcW w:w="3798" w:type="dxa"/>
            <w:tcBorders/>
          </w:tcPr>
          <w:p>
            <w:pPr>
              <w:pStyle w:val="Normal"/>
              <w:rPr>
                <w:sz w:val="22"/>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6930" w:type="dxa"/>
            <w:tcBorders/>
          </w:tcPr>
          <w:p>
            <w:pPr>
              <w:pStyle w:val="Normal"/>
              <w:tabs>
                <w:tab w:val="clear" w:pos="720"/>
                <w:tab w:val="left" w:pos="2412" w:leader="none"/>
              </w:tabs>
              <w:ind w:start="1962" w:end="0"/>
              <w:jc w:val="end"/>
              <w:rPr>
                <w:b/>
                <w:sz w:val="22"/>
              </w:rPr>
            </w:pPr>
            <w:r>
              <w:rPr>
                <w:b/>
              </w:rPr>
              <w:t>Enron North America Corp.</w:t>
            </w:r>
          </w:p>
          <w:p>
            <w:pPr>
              <w:pStyle w:val="Normal"/>
              <w:tabs>
                <w:tab w:val="clear" w:pos="720"/>
                <w:tab w:val="left" w:pos="2412" w:leader="none"/>
              </w:tabs>
              <w:ind w:start="1962" w:end="0"/>
              <w:jc w:val="end"/>
              <w:rPr>
                <w:sz w:val="22"/>
              </w:rPr>
            </w:pPr>
            <w:r>
              <w:rPr>
                <w:sz w:val="22"/>
              </w:rPr>
              <w:t>PO Box 4428</w:t>
            </w:r>
          </w:p>
          <w:p>
            <w:pPr>
              <w:pStyle w:val="Normal"/>
              <w:tabs>
                <w:tab w:val="clear" w:pos="720"/>
                <w:tab w:val="left" w:pos="2412" w:leader="none"/>
              </w:tabs>
              <w:ind w:start="1962" w:end="0"/>
              <w:jc w:val="end"/>
              <w:rPr>
                <w:sz w:val="22"/>
              </w:rPr>
            </w:pPr>
            <w:r>
              <w:rPr>
                <w:sz w:val="22"/>
              </w:rPr>
              <w:t>Houston, Texas  77210-4428</w:t>
            </w:r>
          </w:p>
          <w:p>
            <w:pPr>
              <w:pStyle w:val="Normal"/>
              <w:tabs>
                <w:tab w:val="clear" w:pos="720"/>
                <w:tab w:val="left" w:pos="2412" w:leader="none"/>
              </w:tabs>
              <w:ind w:start="1962" w:end="0"/>
              <w:jc w:val="end"/>
              <w:rPr>
                <w:sz w:val="22"/>
              </w:rPr>
            </w:pPr>
            <w:r>
              <w:rPr>
                <w:sz w:val="22"/>
              </w:rPr>
              <w:t>Phone (713) 853-3300</w:t>
            </w:r>
          </w:p>
          <w:p>
            <w:pPr>
              <w:pStyle w:val="Normal"/>
              <w:tabs>
                <w:tab w:val="clear" w:pos="720"/>
                <w:tab w:val="left" w:pos="2412" w:leader="none"/>
              </w:tabs>
              <w:ind w:start="1962" w:end="0"/>
              <w:jc w:val="end"/>
              <w:rPr>
                <w:sz w:val="22"/>
              </w:rPr>
            </w:pPr>
            <w:r>
              <w:rPr>
                <w:sz w:val="22"/>
              </w:rPr>
              <w:t>Fax (713) 646-4816</w:t>
            </w:r>
          </w:p>
        </w:tc>
      </w:tr>
    </w:tbl>
    <w:p>
      <w:pPr>
        <w:pStyle w:val="Heading1"/>
        <w:ind w:hanging="0" w:start="0"/>
        <w:rPr/>
      </w:pPr>
      <w:r>
        <w:rPr/>
        <w:t>CONFIRMATION</w:t>
      </w:r>
    </w:p>
    <w:p>
      <w:pPr>
        <w:pStyle w:val="Normal"/>
        <w:jc w:val="center"/>
        <w:rPr>
          <w:sz w:val="22"/>
        </w:rPr>
      </w:pPr>
      <w:r>
        <w:rPr>
          <w:sz w:val="22"/>
        </w:rPr>
        <w:fldChar w:fldCharType="begin"/>
      </w:r>
      <w:r>
        <w:rPr>
          <w:sz w:val="22"/>
        </w:rPr>
        <w:instrText xml:space="preserve"> MERGEFIELD ISDAOptCapFloor </w:instrText>
      </w:r>
      <w:r>
        <w:rPr>
          <w:sz w:val="22"/>
        </w:rPr>
        <w:fldChar w:fldCharType="separate"/>
      </w:r>
      <w:r>
        <w:rPr>
          <w:sz w:val="22"/>
        </w:rPr>
        <w:t>«ISDAOptCapFloor»</w:t>
      </w:r>
      <w:r>
        <w:rPr>
          <w:sz w:val="22"/>
        </w:rPr>
        <w:fldChar w:fldCharType="end"/>
      </w:r>
    </w:p>
    <w:p>
      <w:pPr>
        <w:pStyle w:val="Normal"/>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sz w:val="22"/>
        </w:rPr>
      </w:pPr>
      <w:r>
        <w:rPr>
          <w:sz w:val="22"/>
        </w:rPr>
        <w:t>From:</w:t>
        <w:tab/>
        <w:tab/>
        <w:t>Enron North America Corp. (“Party A")</w:t>
      </w:r>
    </w:p>
    <w:p>
      <w:pPr>
        <w:pStyle w:val="Normal"/>
        <w:rPr>
          <w:sz w:val="22"/>
        </w:rPr>
      </w:pPr>
      <w:r>
        <w:rPr>
          <w:sz w:val="22"/>
        </w:rPr>
        <w:t>Re:</w:t>
        <w:tab/>
        <w:tab/>
      </w:r>
      <w:r>
        <w:rPr>
          <w:sz w:val="22"/>
        </w:rPr>
        <w:fldChar w:fldCharType="begin"/>
      </w:r>
      <w:r>
        <w:rPr>
          <w:sz w:val="22"/>
        </w:rPr>
        <w:instrText xml:space="preserve"> MERGEFIELD ISDAOptCapFloor </w:instrText>
      </w:r>
      <w:r>
        <w:rPr>
          <w:sz w:val="22"/>
        </w:rPr>
        <w:fldChar w:fldCharType="separate"/>
      </w:r>
      <w:r>
        <w:rPr>
          <w:sz w:val="22"/>
        </w:rPr>
        <w:t>«ISDAOptCapFloor»</w:t>
      </w:r>
      <w:r>
        <w:rPr>
          <w:sz w:val="22"/>
        </w:rPr>
        <w:fldChar w:fldCharType="end"/>
      </w:r>
    </w:p>
    <w:p>
      <w:pPr>
        <w:pStyle w:val="Normal"/>
        <w:rPr>
          <w:sz w:val="22"/>
        </w:rPr>
      </w:pPr>
      <w:r>
        <w:rPr>
          <w:sz w:val="22"/>
        </w:rPr>
        <w:t xml:space="preserve">Contract No.: </w:t>
        <w:tab/>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rPr>
          <w:b/>
          <w:sz w:val="22"/>
        </w:rPr>
      </w:pPr>
      <w:r>
        <w:rPr>
          <w:b/>
          <w:sz w:val="22"/>
        </w:rPr>
      </w:r>
    </w:p>
    <w:p>
      <w:pPr>
        <w:pStyle w:val="BodyText"/>
        <w:ind w:end="-540"/>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rPr>
          <w:sz w:val="22"/>
        </w:rPr>
      </w:pPr>
      <w:r>
        <w:rPr>
          <w:sz w:val="22"/>
        </w:rPr>
      </w:r>
    </w:p>
    <w:p>
      <w:pPr>
        <w:pStyle w:val="Normal"/>
        <w:ind w:end="-540"/>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«FinancialMasterDate»</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728" w:type="dxa"/>
        <w:jc w:val="start"/>
        <w:tblInd w:w="0" w:type="dxa"/>
        <w:tblLayout w:type="fixed"/>
        <w:tblCellMar>
          <w:top w:w="0" w:type="dxa"/>
          <w:start w:w="108" w:type="dxa"/>
          <w:bottom w:w="0" w:type="dxa"/>
          <w:end w:w="108" w:type="dxa"/>
        </w:tblCellMar>
      </w:tblPr>
      <w:tblGrid>
        <w:gridCol w:w="3618"/>
        <w:gridCol w:w="7110"/>
      </w:tblGrid>
      <w:tr>
        <w:trPr/>
        <w:tc>
          <w:tcPr>
            <w:tcW w:w="3618" w:type="dxa"/>
            <w:tcBorders/>
          </w:tcPr>
          <w:p>
            <w:pPr>
              <w:pStyle w:val="Normal"/>
              <w:rPr>
                <w:sz w:val="22"/>
              </w:rPr>
            </w:pPr>
            <w:r>
              <w:rPr>
                <w:sz w:val="22"/>
              </w:rPr>
              <w:t>Notional Quantity per</w:t>
            </w:r>
          </w:p>
          <w:p>
            <w:pPr>
              <w:pStyle w:val="Normal"/>
              <w:rPr>
                <w:sz w:val="22"/>
              </w:rPr>
            </w:pPr>
            <w:r>
              <w:rPr>
                <w:sz w:val="22"/>
              </w:rPr>
              <w:t>Calculation Period:</w:t>
            </w:r>
          </w:p>
        </w:tc>
        <w:tc>
          <w:tcPr>
            <w:tcW w:w="7110" w:type="dxa"/>
            <w:tcBorders/>
          </w:tcPr>
          <w:p>
            <w:pPr>
              <w:pStyle w:val="Normal"/>
              <w:snapToGrid w:val="false"/>
              <w:rPr>
                <w:sz w:val="22"/>
              </w:rPr>
            </w:pPr>
            <w:r>
              <w:rPr>
                <w:sz w:val="22"/>
              </w:rPr>
            </w:r>
          </w:p>
          <w:p>
            <w:pPr>
              <w:pStyle w:val="Normal"/>
              <w:rPr/>
            </w:pPr>
            <w:r>
              <w:rPr>
                <w:sz w:val="22"/>
              </w:rPr>
              <w:fldChar w:fldCharType="begin"/>
            </w:r>
            <w:r>
              <w:rPr>
                <w:sz w:val="22"/>
              </w:rPr>
              <w:instrText xml:space="preserve"> MERGEFIELD QtyPerPeriod </w:instrText>
            </w:r>
            <w:r>
              <w:rPr>
                <w:sz w:val="22"/>
              </w:rPr>
              <w:fldChar w:fldCharType="separate"/>
            </w:r>
            <w:r>
              <w:rPr>
                <w:sz w:val="22"/>
              </w:rPr>
              <w:t>«QuantityPerHour»</w:t>
            </w:r>
            <w:r>
              <w:rPr>
                <w:sz w:val="22"/>
              </w:rPr>
              <w:fldChar w:fldCharType="end"/>
            </w:r>
            <w:r>
              <w:rPr>
                <w:sz w:val="22"/>
              </w:rPr>
              <w:t xml:space="preserve"> </w:t>
            </w:r>
            <w:r>
              <w:rPr>
                <w:sz w:val="22"/>
              </w:rPr>
              <w:t>MW</w:t>
            </w:r>
          </w:p>
        </w:tc>
      </w:tr>
    </w:tbl>
    <w:p>
      <w:pPr>
        <w:pStyle w:val="Normal"/>
        <w:rPr>
          <w:sz w:val="22"/>
        </w:rPr>
      </w:pPr>
      <w:r>
        <w:rPr>
          <w:sz w:val="22"/>
        </w:rPr>
      </w:r>
    </w:p>
    <w:p>
      <w:pPr>
        <w:pStyle w:val="Normal"/>
        <w:rPr>
          <w:sz w:val="22"/>
        </w:rPr>
      </w:pPr>
      <w:r>
        <w:rPr>
          <w:sz w:val="22"/>
        </w:rPr>
        <w:t>Commodity:</w:t>
        <w:tab/>
        <w:tab/>
        <w:tab/>
        <w:tab/>
        <w:t>Electricity</w:t>
      </w:r>
    </w:p>
    <w:p>
      <w:pPr>
        <w:pStyle w:val="Normal"/>
        <w:rPr>
          <w:sz w:val="22"/>
        </w:rPr>
      </w:pPr>
      <w:r>
        <w:rPr>
          <w:sz w:val="22"/>
        </w:rPr>
      </w:r>
    </w:p>
    <w:p>
      <w:pPr>
        <w:pStyle w:val="Normal"/>
        <w:rPr>
          <w:sz w:val="22"/>
        </w:rPr>
      </w:pPr>
      <w:r>
        <w:rPr>
          <w:sz w:val="22"/>
        </w:rPr>
        <w:t>Commodity Unit:</w:t>
        <w:tab/>
        <w:tab/>
        <w:tab/>
      </w: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p>
      <w:pPr>
        <w:pStyle w:val="Normal"/>
        <w:rPr>
          <w:sz w:val="22"/>
        </w:rPr>
      </w:pPr>
      <w:r>
        <w:rPr>
          <w:sz w:val="22"/>
        </w:rPr>
      </w:r>
    </w:p>
    <w:p>
      <w:pPr>
        <w:pStyle w:val="Normal"/>
        <w:rPr>
          <w:sz w:val="22"/>
        </w:rPr>
      </w:pPr>
      <w:r>
        <w:rPr>
          <w:sz w:val="22"/>
        </w:rPr>
        <w:t>Trade 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sz w:val="22"/>
        </w:rPr>
      </w:pPr>
      <w:r>
        <w:rPr>
          <w:sz w:val="22"/>
        </w:rPr>
      </w:r>
    </w:p>
    <w:tbl>
      <w:tblPr>
        <w:tblW w:w="10728" w:type="dxa"/>
        <w:jc w:val="start"/>
        <w:tblInd w:w="0" w:type="dxa"/>
        <w:tblLayout w:type="fixed"/>
        <w:tblCellMar>
          <w:top w:w="0" w:type="dxa"/>
          <w:start w:w="108" w:type="dxa"/>
          <w:bottom w:w="0" w:type="dxa"/>
          <w:end w:w="108" w:type="dxa"/>
        </w:tblCellMar>
      </w:tblPr>
      <w:tblGrid>
        <w:gridCol w:w="3618"/>
        <w:gridCol w:w="7110"/>
      </w:tblGrid>
      <w:tr>
        <w:trPr/>
        <w:tc>
          <w:tcPr>
            <w:tcW w:w="3618" w:type="dxa"/>
            <w:tcBorders/>
          </w:tcPr>
          <w:p>
            <w:pPr>
              <w:pStyle w:val="Normal"/>
              <w:rPr>
                <w:sz w:val="22"/>
              </w:rPr>
            </w:pPr>
            <w:r>
              <w:rPr>
                <w:sz w:val="22"/>
              </w:rPr>
              <w:t>Calculation Period(s):</w:t>
            </w:r>
          </w:p>
        </w:tc>
        <w:tc>
          <w:tcPr>
            <w:tcW w:w="7110" w:type="dxa"/>
            <w:tcBorders/>
          </w:tcPr>
          <w:p>
            <w:pPr>
              <w:pStyle w:val="Normal"/>
              <w:jc w:val="both"/>
              <w:rPr>
                <w:sz w:val="22"/>
              </w:rPr>
            </w:pPr>
            <w:r>
              <w:rPr>
                <w:sz w:val="22"/>
              </w:rPr>
              <w:t xml:space="preserve">Each hour of each calendar day from and including HE 01:00 (MPT) </w:t>
            </w:r>
            <w:r>
              <w:rPr>
                <w:sz w:val="22"/>
              </w:rPr>
              <w:fldChar w:fldCharType="begin"/>
            </w:r>
            <w:r>
              <w:rPr>
                <w:sz w:val="22"/>
              </w:rPr>
              <w:instrText xml:space="preserve"> MERGEFIELD DeterminationPeriod </w:instrText>
            </w:r>
            <w:r>
              <w:rPr>
                <w:sz w:val="22"/>
              </w:rPr>
              <w:fldChar w:fldCharType="separate"/>
            </w:r>
            <w:r>
              <w:rPr>
                <w:sz w:val="22"/>
              </w:rPr>
              <w:t>«TransStartDate»</w:t>
            </w:r>
            <w:r>
              <w:rPr>
                <w:sz w:val="22"/>
              </w:rPr>
              <w:fldChar w:fldCharType="end"/>
            </w:r>
            <w:r>
              <w:rPr>
                <w:sz w:val="22"/>
              </w:rPr>
              <w:t xml:space="preserve"> to and including HE 24:00 (MPT) </w:t>
            </w:r>
            <w:r>
              <w:rPr>
                <w:sz w:val="22"/>
              </w:rPr>
              <w:fldChar w:fldCharType="begin"/>
            </w:r>
            <w:r>
              <w:rPr>
                <w:sz w:val="22"/>
              </w:rPr>
              <w:instrText xml:space="preserve"> MERGEFIELD HolidayExclusion </w:instrText>
            </w:r>
            <w:r>
              <w:rPr>
                <w:sz w:val="22"/>
              </w:rPr>
              <w:fldChar w:fldCharType="separate"/>
            </w:r>
            <w:r>
              <w:rPr>
                <w:sz w:val="22"/>
              </w:rPr>
              <w:t>«TransStopDate»</w:t>
            </w:r>
            <w:r>
              <w:rPr>
                <w:sz w:val="22"/>
              </w:rPr>
              <w:fldChar w:fldCharType="end"/>
            </w:r>
          </w:p>
        </w:tc>
      </w:tr>
    </w:tbl>
    <w:p>
      <w:pPr>
        <w:pStyle w:val="Normal"/>
        <w:rPr>
          <w:sz w:val="22"/>
        </w:rPr>
      </w:pPr>
      <w:r>
        <w:rPr>
          <w:sz w:val="22"/>
        </w:rPr>
      </w:r>
    </w:p>
    <w:tbl>
      <w:tblPr>
        <w:tblW w:w="10728" w:type="dxa"/>
        <w:jc w:val="start"/>
        <w:tblInd w:w="0" w:type="dxa"/>
        <w:tblLayout w:type="fixed"/>
        <w:tblCellMar>
          <w:top w:w="0" w:type="dxa"/>
          <w:start w:w="108" w:type="dxa"/>
          <w:bottom w:w="0" w:type="dxa"/>
          <w:end w:w="108" w:type="dxa"/>
        </w:tblCellMar>
      </w:tblPr>
      <w:tblGrid>
        <w:gridCol w:w="3618"/>
        <w:gridCol w:w="7110"/>
      </w:tblGrid>
      <w:tr>
        <w:trPr/>
        <w:tc>
          <w:tcPr>
            <w:tcW w:w="3618" w:type="dxa"/>
            <w:tcBorders/>
          </w:tcPr>
          <w:p>
            <w:pPr>
              <w:pStyle w:val="Normal"/>
              <w:rPr>
                <w:sz w:val="22"/>
              </w:rPr>
            </w:pPr>
            <w:r>
              <w:rPr>
                <w:sz w:val="22"/>
              </w:rPr>
              <w:t>Payment Dates(s):</w:t>
            </w:r>
          </w:p>
        </w:tc>
        <w:tc>
          <w:tcPr>
            <w:tcW w:w="7110" w:type="dxa"/>
            <w:tcBorders/>
          </w:tcPr>
          <w:p>
            <w:pPr>
              <w:pStyle w:val="Normal"/>
              <w:jc w:val="both"/>
              <w:rPr>
                <w:color w:val="000000"/>
                <w:sz w:val="22"/>
              </w:rPr>
            </w:pPr>
            <w:r>
              <w:rPr>
                <w:sz w:val="22"/>
              </w:rPr>
              <w:t>For each Calculation Period, the fifth (5</w:t>
            </w:r>
            <w:r>
              <w:rPr>
                <w:sz w:val="22"/>
                <w:vertAlign w:val="superscript"/>
              </w:rPr>
              <w:t>th</w:t>
            </w:r>
            <w:r>
              <w:rPr>
                <w:sz w:val="22"/>
              </w:rPr>
              <w:t>) Business Day following the last calendar day of the calendar month within which such Calculation Period occurs</w:t>
            </w:r>
          </w:p>
        </w:tc>
      </w:tr>
      <w:tr>
        <w:trPr/>
        <w:tc>
          <w:tcPr>
            <w:tcW w:w="3618" w:type="dxa"/>
            <w:tcBorders/>
          </w:tcPr>
          <w:p>
            <w:pPr>
              <w:pStyle w:val="Normal"/>
              <w:snapToGrid w:val="false"/>
              <w:rPr>
                <w:color w:val="000000"/>
                <w:sz w:val="22"/>
              </w:rPr>
            </w:pPr>
            <w:r>
              <w:rPr>
                <w:color w:val="000000"/>
                <w:sz w:val="22"/>
              </w:rPr>
            </w:r>
          </w:p>
        </w:tc>
        <w:tc>
          <w:tcPr>
            <w:tcW w:w="7110" w:type="dxa"/>
            <w:tcBorders/>
          </w:tcPr>
          <w:p>
            <w:pPr>
              <w:pStyle w:val="Normal"/>
              <w:snapToGrid w:val="false"/>
              <w:jc w:val="both"/>
              <w:rPr>
                <w:color w:val="000000"/>
                <w:sz w:val="22"/>
              </w:rPr>
            </w:pPr>
            <w:r>
              <w:rPr>
                <w:color w:val="000000"/>
                <w:sz w:val="22"/>
              </w:rPr>
            </w:r>
          </w:p>
        </w:tc>
      </w:tr>
      <w:tr>
        <w:trPr/>
        <w:tc>
          <w:tcPr>
            <w:tcW w:w="3618" w:type="dxa"/>
            <w:tcBorders/>
          </w:tcPr>
          <w:p>
            <w:pPr>
              <w:pStyle w:val="Normal"/>
              <w:rPr>
                <w:b/>
                <w:sz w:val="22"/>
              </w:rPr>
            </w:pPr>
            <w:r>
              <w:rPr>
                <w:b/>
                <w:sz w:val="22"/>
              </w:rPr>
              <w:t>Fixed Amount Details:</w:t>
            </w:r>
          </w:p>
        </w:tc>
        <w:tc>
          <w:tcPr>
            <w:tcW w:w="7110" w:type="dxa"/>
            <w:tcBorders/>
          </w:tcPr>
          <w:p>
            <w:pPr>
              <w:pStyle w:val="Normal"/>
              <w:snapToGrid w:val="false"/>
              <w:jc w:val="both"/>
              <w:rPr>
                <w:b/>
                <w:color w:val="000000"/>
                <w:sz w:val="22"/>
              </w:rPr>
            </w:pPr>
            <w:r>
              <w:rPr>
                <w:b/>
                <w:color w:val="000000"/>
                <w:sz w:val="22"/>
              </w:rPr>
            </w:r>
          </w:p>
        </w:tc>
      </w:tr>
      <w:tr>
        <w:trPr/>
        <w:tc>
          <w:tcPr>
            <w:tcW w:w="3618" w:type="dxa"/>
            <w:tcBorders/>
          </w:tcPr>
          <w:p>
            <w:pPr>
              <w:pStyle w:val="Normal"/>
              <w:snapToGrid w:val="false"/>
              <w:rPr>
                <w:color w:val="000000"/>
                <w:sz w:val="22"/>
              </w:rPr>
            </w:pPr>
            <w:r>
              <w:rPr>
                <w:color w:val="000000"/>
                <w:sz w:val="22"/>
              </w:rPr>
            </w:r>
          </w:p>
        </w:tc>
        <w:tc>
          <w:tcPr>
            <w:tcW w:w="7110" w:type="dxa"/>
            <w:tcBorders/>
          </w:tcPr>
          <w:p>
            <w:pPr>
              <w:pStyle w:val="Normal"/>
              <w:snapToGrid w:val="false"/>
              <w:jc w:val="both"/>
              <w:rPr>
                <w:color w:val="000000"/>
                <w:sz w:val="22"/>
              </w:rPr>
            </w:pPr>
            <w:r>
              <w:rPr>
                <w:color w:val="000000"/>
                <w:sz w:val="22"/>
              </w:rPr>
            </w:r>
          </w:p>
        </w:tc>
      </w:tr>
      <w:tr>
        <w:trPr/>
        <w:tc>
          <w:tcPr>
            <w:tcW w:w="3618" w:type="dxa"/>
            <w:tcBorders/>
          </w:tcPr>
          <w:p>
            <w:pPr>
              <w:pStyle w:val="Normal"/>
              <w:rPr>
                <w:sz w:val="22"/>
              </w:rPr>
            </w:pPr>
            <w:r>
              <w:rPr>
                <w:sz w:val="22"/>
              </w:rPr>
              <w:t xml:space="preserve">Fixed Price Payer </w:t>
            </w:r>
          </w:p>
          <w:p>
            <w:pPr>
              <w:pStyle w:val="Normal"/>
              <w:rPr>
                <w:sz w:val="22"/>
              </w:rPr>
            </w:pPr>
            <w:r>
              <w:rPr>
                <w:sz w:val="22"/>
              </w:rPr>
              <w:t>(Buyer):</w:t>
              <w:tab/>
            </w:r>
          </w:p>
        </w:tc>
        <w:tc>
          <w:tcPr>
            <w:tcW w:w="7110" w:type="dxa"/>
            <w:tcBorders/>
          </w:tcPr>
          <w:p>
            <w:pPr>
              <w:pStyle w:val="Normal"/>
              <w:snapToGrid w:val="false"/>
              <w:jc w:val="both"/>
              <w:rPr>
                <w:color w:val="000000"/>
                <w:sz w:val="22"/>
              </w:rPr>
            </w:pPr>
            <w:r>
              <w:rPr>
                <w:color w:val="000000"/>
                <w:sz w:val="22"/>
              </w:rPr>
            </w:r>
          </w:p>
          <w:p>
            <w:pPr>
              <w:pStyle w:val="Normal"/>
              <w:jc w:val="both"/>
              <w:rPr>
                <w:color w:val="000000"/>
                <w:sz w:val="22"/>
              </w:rPr>
            </w:pPr>
            <w:r>
              <w:rPr>
                <w:sz w:val="22"/>
              </w:rPr>
              <w:fldChar w:fldCharType="begin"/>
            </w:r>
            <w:r>
              <w:rPr>
                <w:sz w:val="22"/>
              </w:rPr>
              <w:instrText xml:space="preserve"> MERGEFIELD StrikePayerWCode </w:instrText>
            </w:r>
            <w:r>
              <w:rPr>
                <w:sz w:val="22"/>
              </w:rPr>
              <w:fldChar w:fldCharType="separate"/>
            </w:r>
            <w:r>
              <w:rPr>
                <w:sz w:val="22"/>
              </w:rPr>
              <w:t>«StrikePayerWCode»</w:t>
            </w:r>
            <w:r>
              <w:rPr>
                <w:sz w:val="22"/>
              </w:rPr>
              <w:fldChar w:fldCharType="end"/>
            </w:r>
          </w:p>
        </w:tc>
      </w:tr>
      <w:tr>
        <w:trPr/>
        <w:tc>
          <w:tcPr>
            <w:tcW w:w="3618" w:type="dxa"/>
            <w:tcBorders/>
          </w:tcPr>
          <w:p>
            <w:pPr>
              <w:pStyle w:val="Normal"/>
              <w:snapToGrid w:val="false"/>
              <w:rPr>
                <w:color w:val="000000"/>
                <w:sz w:val="22"/>
              </w:rPr>
            </w:pPr>
            <w:r>
              <w:rPr>
                <w:color w:val="000000"/>
                <w:sz w:val="22"/>
              </w:rPr>
            </w:r>
          </w:p>
        </w:tc>
        <w:tc>
          <w:tcPr>
            <w:tcW w:w="7110" w:type="dxa"/>
            <w:tcBorders/>
          </w:tcPr>
          <w:p>
            <w:pPr>
              <w:pStyle w:val="Normal"/>
              <w:snapToGrid w:val="false"/>
              <w:jc w:val="both"/>
              <w:rPr>
                <w:color w:val="000000"/>
                <w:sz w:val="22"/>
              </w:rPr>
            </w:pPr>
            <w:r>
              <w:rPr>
                <w:color w:val="000000"/>
                <w:sz w:val="22"/>
              </w:rPr>
            </w:r>
          </w:p>
        </w:tc>
      </w:tr>
      <w:tr>
        <w:trPr/>
        <w:tc>
          <w:tcPr>
            <w:tcW w:w="3618" w:type="dxa"/>
            <w:tcBorders/>
          </w:tcPr>
          <w:p>
            <w:pPr>
              <w:pStyle w:val="Normal"/>
              <w:rPr>
                <w:sz w:val="22"/>
              </w:rPr>
            </w:pPr>
            <w:r>
              <w:rPr>
                <w:sz w:val="22"/>
              </w:rPr>
              <w:t>Fixed Price:</w:t>
            </w:r>
          </w:p>
        </w:tc>
        <w:tc>
          <w:tcPr>
            <w:tcW w:w="7110" w:type="dxa"/>
            <w:tcBorders/>
          </w:tcPr>
          <w:p>
            <w:pPr>
              <w:pStyle w:val="Normal"/>
              <w:jc w:val="both"/>
              <w:rPr>
                <w:color w:val="000000"/>
                <w:sz w:val="22"/>
              </w:rPr>
            </w:pPr>
            <w:r>
              <w:rPr>
                <w:sz w:val="22"/>
              </w:rPr>
              <w:t xml:space="preserve">On or before </w:t>
            </w:r>
            <w:r>
              <w:rPr>
                <w:sz w:val="22"/>
              </w:rPr>
              <w:fldChar w:fldCharType="begin"/>
            </w:r>
            <w:r>
              <w:rPr>
                <w:sz w:val="22"/>
              </w:rPr>
              <w:instrText xml:space="preserve"> MERGEFIELD OptionPremiumDate </w:instrText>
            </w:r>
            <w:r>
              <w:rPr>
                <w:sz w:val="22"/>
              </w:rPr>
              <w:fldChar w:fldCharType="separate"/>
            </w:r>
            <w:r>
              <w:rPr>
                <w:sz w:val="22"/>
              </w:rPr>
              <w:t>«OptionPremiumDate»</w:t>
            </w:r>
            <w:r>
              <w:rPr>
                <w:sz w:val="22"/>
              </w:rPr>
              <w:fldChar w:fldCharType="end"/>
            </w:r>
            <w:r>
              <w:rPr>
                <w:sz w:val="22"/>
              </w:rPr>
              <w:t xml:space="preserve">, </w:t>
            </w:r>
            <w:r>
              <w:rPr>
                <w:sz w:val="22"/>
              </w:rPr>
              <w:fldChar w:fldCharType="begin"/>
            </w:r>
            <w:r>
              <w:rPr>
                <w:sz w:val="22"/>
              </w:rPr>
              <w:instrText xml:space="preserve"> MERGEFIELD ISDABuyer </w:instrText>
            </w:r>
            <w:r>
              <w:rPr>
                <w:sz w:val="22"/>
              </w:rPr>
              <w:fldChar w:fldCharType="separate"/>
            </w:r>
            <w:r>
              <w:rPr>
                <w:sz w:val="22"/>
              </w:rPr>
              <w:t>«ISDABuyer»</w:t>
            </w:r>
            <w:r>
              <w:rPr>
                <w:sz w:val="22"/>
              </w:rPr>
              <w:fldChar w:fldCharType="end"/>
            </w:r>
            <w:r>
              <w:rPr>
                <w:sz w:val="22"/>
              </w:rPr>
              <w:t xml:space="preserve"> shall pay </w:t>
            </w:r>
            <w:r>
              <w:rPr>
                <w:sz w:val="22"/>
              </w:rPr>
              <w:fldChar w:fldCharType="begin"/>
            </w:r>
            <w:r>
              <w:rPr>
                <w:sz w:val="22"/>
              </w:rPr>
              <w:instrText xml:space="preserve"> MERGEFIELD ISDASeller </w:instrText>
            </w:r>
            <w:r>
              <w:rPr>
                <w:sz w:val="22"/>
              </w:rPr>
              <w:fldChar w:fldCharType="separate"/>
            </w:r>
            <w:r>
              <w:rPr>
                <w:sz w:val="22"/>
              </w:rPr>
              <w:t>«ISDASeller»</w:t>
            </w:r>
            <w:r>
              <w:rPr>
                <w:sz w:val="22"/>
              </w:rPr>
              <w:fldChar w:fldCharType="end"/>
            </w:r>
            <w:r>
              <w:rPr>
                <w:sz w:val="22"/>
              </w:rPr>
              <w:t xml:space="preserve"> </w:t>
            </w:r>
            <w:r>
              <w:rPr>
                <w:sz w:val="22"/>
              </w:rPr>
              <w:fldChar w:fldCharType="begin"/>
            </w:r>
            <w:r>
              <w:rPr>
                <w:sz w:val="22"/>
              </w:rPr>
              <w:instrText xml:space="preserve"> MERGEFIELD OptionPremiumAmt </w:instrText>
            </w:r>
            <w:r>
              <w:rPr>
                <w:sz w:val="22"/>
              </w:rPr>
              <w:fldChar w:fldCharType="separate"/>
            </w:r>
            <w:r>
              <w:rPr>
                <w:sz w:val="22"/>
              </w:rPr>
              <w:t>«OptionPremiumAmt»</w:t>
            </w:r>
            <w:r>
              <w:rPr>
                <w:sz w:val="22"/>
              </w:rPr>
              <w:fldChar w:fldCharType="end"/>
            </w:r>
          </w:p>
        </w:tc>
      </w:tr>
      <w:tr>
        <w:trPr/>
        <w:tc>
          <w:tcPr>
            <w:tcW w:w="3618" w:type="dxa"/>
            <w:tcBorders/>
          </w:tcPr>
          <w:p>
            <w:pPr>
              <w:pStyle w:val="Normal"/>
              <w:snapToGrid w:val="false"/>
              <w:rPr>
                <w:color w:val="000000"/>
                <w:sz w:val="22"/>
              </w:rPr>
            </w:pPr>
            <w:r>
              <w:rPr>
                <w:color w:val="000000"/>
                <w:sz w:val="22"/>
              </w:rPr>
            </w:r>
          </w:p>
        </w:tc>
        <w:tc>
          <w:tcPr>
            <w:tcW w:w="7110" w:type="dxa"/>
            <w:tcBorders/>
          </w:tcPr>
          <w:p>
            <w:pPr>
              <w:pStyle w:val="Normal"/>
              <w:snapToGrid w:val="false"/>
              <w:jc w:val="both"/>
              <w:rPr>
                <w:color w:val="000000"/>
                <w:sz w:val="22"/>
              </w:rPr>
            </w:pPr>
            <w:r>
              <w:rPr>
                <w:color w:val="000000"/>
                <w:sz w:val="22"/>
              </w:rPr>
            </w:r>
          </w:p>
        </w:tc>
      </w:tr>
      <w:tr>
        <w:trPr/>
        <w:tc>
          <w:tcPr>
            <w:tcW w:w="3618" w:type="dxa"/>
            <w:tcBorders/>
          </w:tcPr>
          <w:p>
            <w:pPr>
              <w:pStyle w:val="Normal"/>
              <w:rPr>
                <w:b/>
                <w:sz w:val="22"/>
              </w:rPr>
            </w:pPr>
            <w:r>
              <w:rPr>
                <w:b/>
                <w:sz w:val="22"/>
              </w:rPr>
              <w:t>Floating Amount Details:</w:t>
            </w:r>
          </w:p>
        </w:tc>
        <w:tc>
          <w:tcPr>
            <w:tcW w:w="7110" w:type="dxa"/>
            <w:tcBorders/>
          </w:tcPr>
          <w:p>
            <w:pPr>
              <w:pStyle w:val="Normal"/>
              <w:snapToGrid w:val="false"/>
              <w:jc w:val="both"/>
              <w:rPr>
                <w:b/>
                <w:color w:val="000000"/>
                <w:sz w:val="22"/>
              </w:rPr>
            </w:pPr>
            <w:r>
              <w:rPr>
                <w:b/>
                <w:color w:val="000000"/>
                <w:sz w:val="22"/>
              </w:rPr>
            </w:r>
          </w:p>
        </w:tc>
      </w:tr>
      <w:tr>
        <w:trPr/>
        <w:tc>
          <w:tcPr>
            <w:tcW w:w="3618" w:type="dxa"/>
            <w:tcBorders/>
          </w:tcPr>
          <w:p>
            <w:pPr>
              <w:pStyle w:val="Normal"/>
              <w:snapToGrid w:val="false"/>
              <w:rPr>
                <w:color w:val="000000"/>
                <w:sz w:val="22"/>
              </w:rPr>
            </w:pPr>
            <w:r>
              <w:rPr>
                <w:color w:val="000000"/>
                <w:sz w:val="22"/>
              </w:rPr>
            </w:r>
          </w:p>
        </w:tc>
        <w:tc>
          <w:tcPr>
            <w:tcW w:w="7110" w:type="dxa"/>
            <w:tcBorders/>
          </w:tcPr>
          <w:p>
            <w:pPr>
              <w:pStyle w:val="Normal"/>
              <w:snapToGrid w:val="false"/>
              <w:jc w:val="both"/>
              <w:rPr>
                <w:color w:val="000000"/>
                <w:sz w:val="22"/>
              </w:rPr>
            </w:pPr>
            <w:r>
              <w:rPr>
                <w:color w:val="000000"/>
                <w:sz w:val="22"/>
              </w:rPr>
            </w:r>
          </w:p>
        </w:tc>
      </w:tr>
      <w:tr>
        <w:trPr/>
        <w:tc>
          <w:tcPr>
            <w:tcW w:w="3618" w:type="dxa"/>
            <w:tcBorders/>
          </w:tcPr>
          <w:p>
            <w:pPr>
              <w:pStyle w:val="Normal"/>
              <w:rPr>
                <w:sz w:val="22"/>
              </w:rPr>
            </w:pPr>
            <w:r>
              <w:rPr>
                <w:sz w:val="22"/>
              </w:rPr>
              <w:t xml:space="preserve">Floating Price Payer </w:t>
            </w:r>
          </w:p>
          <w:p>
            <w:pPr>
              <w:pStyle w:val="Normal"/>
              <w:rPr>
                <w:sz w:val="22"/>
              </w:rPr>
            </w:pPr>
            <w:r>
              <w:rPr>
                <w:sz w:val="22"/>
              </w:rPr>
              <w:t>(Seller):</w:t>
            </w:r>
          </w:p>
        </w:tc>
        <w:tc>
          <w:tcPr>
            <w:tcW w:w="7110" w:type="dxa"/>
            <w:tcBorders/>
          </w:tcPr>
          <w:p>
            <w:pPr>
              <w:pStyle w:val="Normal"/>
              <w:snapToGrid w:val="false"/>
              <w:jc w:val="both"/>
              <w:rPr>
                <w:color w:val="000000"/>
                <w:sz w:val="22"/>
              </w:rPr>
            </w:pPr>
            <w:r>
              <w:rPr>
                <w:color w:val="000000"/>
                <w:sz w:val="22"/>
              </w:rPr>
            </w:r>
          </w:p>
          <w:p>
            <w:pPr>
              <w:pStyle w:val="Normal"/>
              <w:jc w:val="both"/>
              <w:rPr>
                <w:color w:val="000000"/>
                <w:sz w:val="22"/>
              </w:rPr>
            </w:pPr>
            <w:r>
              <w:rPr>
                <w:sz w:val="22"/>
              </w:rPr>
              <w:fldChar w:fldCharType="begin"/>
            </w:r>
            <w:r>
              <w:rPr>
                <w:sz w:val="22"/>
              </w:rPr>
              <w:instrText xml:space="preserve"> MERGEFIELD FloatingPayerWCode </w:instrText>
            </w:r>
            <w:r>
              <w:rPr>
                <w:sz w:val="22"/>
              </w:rPr>
              <w:fldChar w:fldCharType="separate"/>
            </w:r>
            <w:r>
              <w:rPr>
                <w:sz w:val="22"/>
              </w:rPr>
              <w:t>«FloatingPayerWCode»</w:t>
            </w:r>
            <w:r>
              <w:rPr>
                <w:sz w:val="22"/>
              </w:rPr>
              <w:fldChar w:fldCharType="end"/>
            </w:r>
          </w:p>
        </w:tc>
      </w:tr>
      <w:tr>
        <w:trPr/>
        <w:tc>
          <w:tcPr>
            <w:tcW w:w="3618" w:type="dxa"/>
            <w:tcBorders/>
          </w:tcPr>
          <w:p>
            <w:pPr>
              <w:pStyle w:val="Normal"/>
              <w:snapToGrid w:val="false"/>
              <w:rPr>
                <w:color w:val="000000"/>
                <w:sz w:val="22"/>
              </w:rPr>
            </w:pPr>
            <w:r>
              <w:rPr>
                <w:color w:val="000000"/>
                <w:sz w:val="22"/>
              </w:rPr>
            </w:r>
          </w:p>
        </w:tc>
        <w:tc>
          <w:tcPr>
            <w:tcW w:w="7110" w:type="dxa"/>
            <w:tcBorders/>
          </w:tcPr>
          <w:p>
            <w:pPr>
              <w:pStyle w:val="Normal"/>
              <w:snapToGrid w:val="false"/>
              <w:jc w:val="both"/>
              <w:rPr>
                <w:color w:val="000000"/>
                <w:sz w:val="22"/>
              </w:rPr>
            </w:pPr>
            <w:r>
              <w:rPr>
                <w:color w:val="000000"/>
                <w:sz w:val="22"/>
              </w:rPr>
            </w:r>
          </w:p>
        </w:tc>
      </w:tr>
      <w:tr>
        <w:trPr/>
        <w:tc>
          <w:tcPr>
            <w:tcW w:w="3618" w:type="dxa"/>
            <w:tcBorders/>
          </w:tcPr>
          <w:p>
            <w:pPr>
              <w:pStyle w:val="Normal"/>
              <w:rPr/>
            </w:pPr>
            <w:r>
              <w:rPr>
                <w:sz w:val="22"/>
              </w:rPr>
              <w:fldChar w:fldCharType="begin"/>
            </w:r>
            <w:r>
              <w:rPr>
                <w:sz w:val="22"/>
              </w:rPr>
              <w:instrText xml:space="preserve"> MERGEFIELD ISDAOptCapFloor </w:instrText>
            </w:r>
            <w:r>
              <w:rPr>
                <w:sz w:val="22"/>
              </w:rPr>
              <w:fldChar w:fldCharType="separate"/>
            </w:r>
            <w:r>
              <w:rPr>
                <w:sz w:val="22"/>
              </w:rPr>
              <w:t>«ISDAOptCapFloor»</w:t>
            </w:r>
            <w:r>
              <w:rPr>
                <w:sz w:val="22"/>
              </w:rPr>
              <w:fldChar w:fldCharType="end"/>
            </w:r>
            <w:r>
              <w:rPr>
                <w:sz w:val="22"/>
              </w:rPr>
              <w:t>Price:</w:t>
            </w:r>
          </w:p>
          <w:p>
            <w:pPr>
              <w:pStyle w:val="Normal"/>
              <w:rPr>
                <w:sz w:val="22"/>
              </w:rPr>
            </w:pPr>
            <w:r>
              <w:rPr>
                <w:sz w:val="22"/>
              </w:rPr>
              <w:t>(Strike Price)</w:t>
            </w:r>
          </w:p>
        </w:tc>
        <w:tc>
          <w:tcPr>
            <w:tcW w:w="7110" w:type="dxa"/>
            <w:tcBorders/>
          </w:tcPr>
          <w:p>
            <w:pPr>
              <w:pStyle w:val="Normal"/>
              <w:ind w:start="-18" w:end="0"/>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r>
        <w:trPr/>
        <w:tc>
          <w:tcPr>
            <w:tcW w:w="3618" w:type="dxa"/>
            <w:tcBorders/>
          </w:tcPr>
          <w:p>
            <w:pPr>
              <w:pStyle w:val="Normal"/>
              <w:snapToGrid w:val="false"/>
              <w:rPr>
                <w:sz w:val="22"/>
              </w:rPr>
            </w:pPr>
            <w:r>
              <w:rPr>
                <w:sz w:val="22"/>
              </w:rPr>
            </w:r>
          </w:p>
        </w:tc>
        <w:tc>
          <w:tcPr>
            <w:tcW w:w="7110" w:type="dxa"/>
            <w:tcBorders/>
          </w:tcPr>
          <w:p>
            <w:pPr>
              <w:pStyle w:val="Normal"/>
              <w:snapToGrid w:val="false"/>
              <w:jc w:val="both"/>
              <w:rPr>
                <w:sz w:val="22"/>
              </w:rPr>
            </w:pPr>
            <w:r>
              <w:rPr>
                <w:sz w:val="22"/>
              </w:rPr>
            </w:r>
          </w:p>
        </w:tc>
      </w:tr>
      <w:tr>
        <w:trPr/>
        <w:tc>
          <w:tcPr>
            <w:tcW w:w="3618" w:type="dxa"/>
            <w:tcBorders/>
          </w:tcPr>
          <w:p>
            <w:pPr>
              <w:pStyle w:val="Normal"/>
              <w:rPr>
                <w:sz w:val="22"/>
              </w:rPr>
            </w:pPr>
            <w:r>
              <w:rPr>
                <w:sz w:val="22"/>
              </w:rPr>
              <w:t>Floating Price and</w:t>
            </w:r>
          </w:p>
          <w:p>
            <w:pPr>
              <w:pStyle w:val="Normal"/>
              <w:rPr>
                <w:sz w:val="22"/>
              </w:rPr>
            </w:pPr>
            <w:r>
              <w:rPr>
                <w:sz w:val="22"/>
              </w:rPr>
              <w:t>Pricing Date(s):</w:t>
            </w:r>
          </w:p>
        </w:tc>
        <w:tc>
          <w:tcPr>
            <w:tcW w:w="7110"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«FloatPrice»</w:t>
            </w:r>
            <w:r>
              <w:rPr>
                <w:sz w:val="22"/>
              </w:rPr>
              <w:fldChar w:fldCharType="end"/>
            </w:r>
          </w:p>
        </w:tc>
      </w:tr>
      <w:tr>
        <w:trPr/>
        <w:tc>
          <w:tcPr>
            <w:tcW w:w="3618" w:type="dxa"/>
            <w:tcBorders/>
          </w:tcPr>
          <w:p>
            <w:pPr>
              <w:pStyle w:val="Normal"/>
              <w:snapToGrid w:val="false"/>
              <w:rPr>
                <w:sz w:val="22"/>
              </w:rPr>
            </w:pPr>
            <w:r>
              <w:rPr>
                <w:sz w:val="22"/>
              </w:rPr>
            </w:r>
          </w:p>
          <w:p>
            <w:pPr>
              <w:pStyle w:val="Normal"/>
              <w:rPr>
                <w:sz w:val="22"/>
              </w:rPr>
            </w:pPr>
            <w:r>
              <w:rPr>
                <w:sz w:val="22"/>
              </w:rPr>
              <w:t>Delivery Dates(s):</w:t>
            </w:r>
          </w:p>
        </w:tc>
        <w:tc>
          <w:tcPr>
            <w:tcW w:w="7110" w:type="dxa"/>
            <w:tcBorders/>
          </w:tcPr>
          <w:p>
            <w:pPr>
              <w:pStyle w:val="Normal"/>
              <w:snapToGrid w:val="false"/>
              <w:jc w:val="both"/>
              <w:rPr>
                <w:sz w:val="22"/>
              </w:rPr>
            </w:pPr>
            <w:r>
              <w:rPr>
                <w:sz w:val="22"/>
              </w:rPr>
            </w:r>
          </w:p>
          <w:p>
            <w:pPr>
              <w:pStyle w:val="Normal"/>
              <w:jc w:val="both"/>
              <w:rPr>
                <w:sz w:val="22"/>
              </w:rPr>
            </w:pPr>
            <w:r>
              <w:rPr>
                <w:sz w:val="22"/>
              </w:rPr>
              <w:t>Monthly periods, commencing with the first Calculation Period and ending with the final Calculation Period</w:t>
            </w:r>
          </w:p>
        </w:tc>
      </w:tr>
      <w:tr>
        <w:trPr/>
        <w:tc>
          <w:tcPr>
            <w:tcW w:w="3618" w:type="dxa"/>
            <w:tcBorders/>
          </w:tcPr>
          <w:p>
            <w:pPr>
              <w:pStyle w:val="Normal"/>
              <w:rPr>
                <w:sz w:val="22"/>
              </w:rPr>
            </w:pPr>
            <w:r>
              <w:rPr>
                <w:sz w:val="22"/>
              </w:rPr>
              <w:fldChar w:fldCharType="begin"/>
            </w:r>
            <w:r>
              <w:rPr>
                <w:sz w:val="22"/>
              </w:rPr>
              <w:instrText xml:space="preserve"> MERGEFIELD AlternatePriceLit </w:instrText>
            </w:r>
            <w:r>
              <w:rPr>
                <w:sz w:val="22"/>
              </w:rPr>
              <w:fldChar w:fldCharType="separate"/>
            </w:r>
            <w:r>
              <w:rPr>
                <w:sz w:val="22"/>
              </w:rPr>
              <w:t>«AlternatePriceLit»</w:t>
            </w:r>
            <w:r>
              <w:rPr>
                <w:sz w:val="22"/>
              </w:rPr>
              <w:fldChar w:fldCharType="end"/>
            </w:r>
          </w:p>
        </w:tc>
        <w:tc>
          <w:tcPr>
            <w:tcW w:w="7110"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«AlternatePrice»</w:t>
            </w:r>
            <w:r>
              <w:rPr>
                <w:sz w:val="22"/>
              </w:rPr>
              <w:fldChar w:fldCharType="end"/>
            </w:r>
          </w:p>
        </w:tc>
      </w:tr>
      <w:tr>
        <w:trPr/>
        <w:tc>
          <w:tcPr>
            <w:tcW w:w="10728" w:type="dxa"/>
            <w:gridSpan w:val="2"/>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rPr>
          <w:sz w:val="22"/>
        </w:rPr>
      </w:pPr>
      <w:r>
        <w:rPr>
          <w:sz w:val="22"/>
        </w:rPr>
      </w:r>
    </w:p>
    <w:p>
      <w:pPr>
        <w:pStyle w:val="BodyText"/>
        <w:ind w:end="-540"/>
        <w:rPr/>
      </w:pPr>
      <w:r>
        <w:rPr/>
        <w:t>Each party represents that it is in compliance with the terms, conditions and limitations set forth in the board resolutions or other guidelines that are applicable to such party’s execution and performance of this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BodyText3"/>
        <w:ind w:end="-540"/>
        <w:rPr/>
      </w:pPr>
      <w:r>
        <w:rPr/>
        <w:t xml:space="preserve">Each party, with respect to itself, hereby represents and warrants to the other party, that (a) the transaction constitutes an “OTC derivative” or such other similar term as defined pursuant to the securities legislation in force in Alberta, British Columbia or Ontario or pursuant to the securities legislation of any other jurisdictions having application to the Transaction and (b) it is a “Qualified Party” within the meaning of paragraph 9.1 of Alberta Securities Commission Blanket Order BOR#91-502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Ontario or any other jurisdictions having application to the Transaction. </w:t>
      </w:r>
    </w:p>
    <w:p>
      <w:pPr>
        <w:pStyle w:val="Normal"/>
        <w:ind w:firstLine="720" w:end="0"/>
        <w:rPr>
          <w:sz w:val="22"/>
        </w:rPr>
      </w:pPr>
      <w:r>
        <w:rPr>
          <w:sz w:val="22"/>
        </w:rPr>
      </w:r>
    </w:p>
    <w:p>
      <w:pPr>
        <w:pStyle w:val="BodyText"/>
        <w:ind w:end="-540"/>
        <w:rPr/>
      </w:pPr>
      <w:r>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keepNext w:val="true"/>
        <w:keepLines/>
        <w:ind w:end="-1080"/>
        <w:rPr>
          <w:sz w:val="22"/>
        </w:rPr>
      </w:pPr>
      <w:r>
        <w:rPr>
          <w:sz w:val="22"/>
        </w:rPr>
      </w:r>
    </w:p>
    <w:p>
      <w:pPr>
        <w:pStyle w:val="Normal"/>
        <w:rPr>
          <w:sz w:val="22"/>
        </w:rPr>
      </w:pPr>
      <w:r>
        <w:rPr>
          <w:sz w:val="22"/>
        </w:rPr>
        <w:tab/>
        <w:tab/>
        <w:tab/>
        <w:tab/>
        <w:tab/>
        <w:t>Yours sincerely,</w:t>
      </w:r>
    </w:p>
    <w:p>
      <w:pPr>
        <w:pStyle w:val="Normal"/>
        <w:rPr>
          <w:sz w:val="22"/>
        </w:rPr>
      </w:pPr>
      <w:r>
        <w:rPr>
          <w:sz w:val="22"/>
        </w:rPr>
      </w:r>
    </w:p>
    <w:p>
      <w:pPr>
        <w:pStyle w:val="Normal"/>
        <w:rPr>
          <w:sz w:val="22"/>
        </w:rPr>
      </w:pPr>
      <w:r>
        <w:rPr>
          <w:sz w:val="22"/>
        </w:rPr>
        <w:tab/>
        <w:tab/>
        <w:tab/>
        <w:tab/>
        <w:tab/>
        <w:t>Enron North America Corp.</w:t>
      </w:r>
    </w:p>
    <w:p>
      <w:pPr>
        <w:pStyle w:val="Normal"/>
        <w:rPr>
          <w:sz w:val="22"/>
        </w:rPr>
      </w:pPr>
      <w:r>
        <w:rPr>
          <w:sz w:val="22"/>
        </w:rPr>
      </w:r>
    </w:p>
    <w:p>
      <w:pPr>
        <w:pStyle w:val="Normal"/>
        <w:rPr>
          <w:sz w:val="22"/>
        </w:rPr>
      </w:pPr>
      <w:r>
        <w:rPr>
          <w:sz w:val="22"/>
        </w:rPr>
        <w:tab/>
        <w:tab/>
        <w:tab/>
        <w:tab/>
        <w:tab/>
        <w:t xml:space="preserve">By: </w:t>
        <w:tab/>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rPr>
          <w:sz w:val="22"/>
        </w:rPr>
      </w:pPr>
      <w:r>
        <w:rPr>
          <w:sz w:val="22"/>
        </w:rPr>
        <w:tab/>
        <w:tab/>
        <w:tab/>
        <w:tab/>
        <w:tab/>
        <w:t>Name:  Diane I. Anderson</w:t>
      </w:r>
    </w:p>
    <w:p>
      <w:pPr>
        <w:pStyle w:val="Normal"/>
        <w:rPr>
          <w:sz w:val="22"/>
        </w:rPr>
      </w:pPr>
      <w:r>
        <w:rPr>
          <w:sz w:val="22"/>
        </w:rPr>
        <w:tab/>
        <w:tab/>
        <w:tab/>
        <w:tab/>
        <w:tab/>
        <w:t>Title:    Agent and Attorney-in-Fact</w:t>
      </w:r>
    </w:p>
    <w:p>
      <w:pPr>
        <w:pStyle w:val="Normal"/>
        <w:rPr>
          <w:sz w:val="22"/>
        </w:rPr>
      </w:pPr>
      <w:r>
        <w:rPr>
          <w:sz w:val="22"/>
        </w:rPr>
      </w:r>
    </w:p>
    <w:p>
      <w:pPr>
        <w:pStyle w:val="Normal"/>
        <w:rPr>
          <w:sz w:val="22"/>
        </w:rPr>
      </w:pPr>
      <w:r>
        <w:rPr>
          <w:sz w:val="22"/>
        </w:rPr>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rPr>
          <w:sz w:val="22"/>
        </w:rPr>
      </w:pPr>
      <w:r>
        <w:rPr>
          <w:sz w:val="22"/>
        </w:rPr>
      </w:r>
    </w:p>
    <w:p>
      <w:pPr>
        <w:pStyle w:val="Normal"/>
        <w:rPr>
          <w:sz w:val="22"/>
        </w:rPr>
      </w:pPr>
      <w:r>
        <w:rPr>
          <w:sz w:val="22"/>
        </w:rPr>
        <w:t>By:  _________________________________</w:t>
      </w:r>
    </w:p>
    <w:p>
      <w:pPr>
        <w:pStyle w:val="Normal"/>
        <w:rPr>
          <w:sz w:val="22"/>
        </w:rPr>
      </w:pPr>
      <w:r>
        <w:rPr>
          <w:sz w:val="22"/>
        </w:rPr>
        <w:t xml:space="preserve">Name: </w:t>
      </w:r>
    </w:p>
    <w:p>
      <w:pPr>
        <w:pStyle w:val="Normal"/>
        <w:ind w:end="-1080"/>
        <w:rPr>
          <w:sz w:val="22"/>
        </w:rPr>
      </w:pPr>
      <w:r>
        <w:rPr>
          <w:sz w:val="22"/>
        </w:rPr>
        <w:t>Title:</w:t>
      </w:r>
    </w:p>
    <w:p>
      <w:pPr>
        <w:pStyle w:val="Normal"/>
        <w:ind w:end="-1080"/>
        <w:rPr>
          <w:sz w:val="22"/>
        </w:rPr>
      </w:pPr>
      <w:r>
        <w:rPr>
          <w:sz w:val="22"/>
        </w:rPr>
      </w:r>
    </w:p>
    <w:p>
      <w:pPr>
        <w:pStyle w:val="BodyTextIndent"/>
        <w:ind w:hanging="0" w:start="0" w:end="-540"/>
        <w:rPr>
          <w:b/>
        </w:rPr>
      </w:pPr>
      <w:r>
        <w:rPr>
          <w:b/>
        </w:rPr>
        <w:t>COUNTERPARTY:  AFTER YOU HAVE CONFIRMED TRANSACTION, PLEASE RETURN TO ENA, ATTENTION:  DIRECTOR OF DOCUMENTATION AT FAX NO (713) 646-4816 and (403) 974-6706</w:t>
      </w:r>
    </w:p>
    <w:p>
      <w:pPr>
        <w:pStyle w:val="Normal"/>
        <w:rPr>
          <w:b/>
        </w:rPr>
      </w:pPr>
      <w:r>
        <w:rPr>
          <w:b/>
        </w:rPr>
      </w:r>
    </w:p>
    <w:sectPr>
      <w:headerReference w:type="default" r:id="rId3"/>
      <w:footerReference w:type="default" r:id="rId4"/>
      <w:type w:val="nextPage"/>
      <w:pgSz w:w="12240" w:h="15840"/>
      <w:pgMar w:left="72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9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ab/>
      <w:tab/>
      <w:t xml:space="preserve">Deal No. </w:t>
    </w:r>
    <w:r>
      <w:rPr>
        <w:sz w:val="18"/>
      </w:rPr>
      <w:fldChar w:fldCharType="begin"/>
    </w:r>
    <w:r>
      <w:rPr>
        <w:sz w:val="18"/>
      </w:rPr>
      <w:instrText xml:space="preserve"> TITLE </w:instrText>
    </w:r>
    <w:r>
      <w:rPr>
        <w:sz w:val="18"/>
      </w:rPr>
      <w:fldChar w:fldCharType="separate"/>
    </w:r>
    <w:r>
      <w:rPr>
        <w:sz w:val="18"/>
      </w:rPr>
      <w:t xml:space="preserve"> </w:t>
      <w:tab/>
    </w:r>
    <w:r>
      <w:rPr>
        <w:sz w:val="18"/>
      </w:rPr>
      <w:fldChar w:fldCharType="end"/>
    </w:r>
  </w:p>
  <w:p>
    <w:pPr>
      <w:pStyle w:val="Header"/>
      <w:rPr>
        <w:sz w:val="22"/>
      </w:rPr>
    </w:pPr>
    <w:r>
      <w:rPr/>
      <w:tab/>
      <w:tab/>
    </w:r>
  </w:p>
  <w:p>
    <w:pPr>
      <w:pStyle w:val="Normal"/>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Helvetica" w:hAnsi="Helvetica" w:cs="Helvetica"/>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jc w:val="both"/>
    </w:pPr>
    <w:rPr>
      <w:sz w:val="22"/>
    </w:rPr>
  </w:style>
  <w:style w:type="paragraph" w:styleId="BodyText2">
    <w:name w:val="Body Text 2"/>
    <w:basedOn w:val="Normal"/>
    <w:qFormat/>
    <w:pPr/>
    <w:rPr>
      <w:b/>
    </w:rPr>
  </w:style>
  <w:style w:type="paragraph" w:styleId="BodyText3">
    <w:name w:val="Body Text 3"/>
    <w:basedOn w:val="Normal"/>
    <w:qFormat/>
    <w:pPr>
      <w:ind w:hanging="0" w:start="0" w:end="-810"/>
      <w:jc w:val="both"/>
    </w:pPr>
    <w:rPr>
      <w:color w:val="000000"/>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2001-10-15T13:40:00Z</dcterms:created>
  <dc:creator>ECT</dc:creator>
  <dc:description/>
  <dc:language>en-CA</dc:language>
  <cp:lastModifiedBy>s_mcrouch</cp:lastModifiedBy>
  <dcterms:modified xsi:type="dcterms:W3CDTF">2001-10-15T13:40:00Z</dcterms:modified>
  <cp:revision>2</cp:revision>
  <dc:subject/>
  <dc:title> 	</dc:title>
</cp:coreProperties>
</file>