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t xml:space="preserve"> </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Allegheny Energy Supply Company, LLC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(212) 224-8386</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795829.01</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This Transaction was entered into between the parties via EnronOnline.</w:t>
        <w:t>EnronOnline Deal No: 1936736</w:t>
      </w:r>
      <w:r>
        <w:rPr>
          <w:sz w:val="22"/>
          <w:b/>
        </w:rPr>
        <w:fldChar w:fldCharType="end"/>
      </w:r>
    </w:p>
    <w:p>
      <w:pPr>
        <w:pStyle w:val="Normal"/>
        <w:rPr>
          <w:sz w:val="22"/>
        </w:rPr>
      </w:pPr>
      <w:r>
        <w:rPr>
          <w:sz w:val="22"/>
        </w:rPr>
        <w:tab/>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Side Letter Agreement specified immediately below.</w:t>
      </w:r>
    </w:p>
    <w:p>
      <w:pPr>
        <w:pStyle w:val="Normal"/>
        <w:jc w:val="both"/>
        <w:rPr>
          <w:sz w:val="22"/>
        </w:rPr>
      </w:pPr>
      <w:r>
        <w:rPr>
          <w:sz w:val="22"/>
        </w:rPr>
      </w:r>
    </w:p>
    <w:p>
      <w:pPr>
        <w:pStyle w:val="Normal"/>
        <w:numPr>
          <w:ilvl w:val="0"/>
          <w:numId w:val="2"/>
        </w:numPr>
        <w:tabs>
          <w:tab w:val="clear" w:pos="720"/>
        </w:tabs>
        <w:ind w:hanging="360" w:start="1080" w:end="0"/>
        <w:rPr>
          <w:sz w:val="22"/>
        </w:rPr>
      </w:pPr>
      <w:r>
        <w:rPr>
          <w:sz w:val="22"/>
        </w:rPr>
        <w:t xml:space="preserve">This Confirmation supplements, forms part of, and is subject to the letter agreement between Allegheny Energy Supply Company, LLC and Enron North America Corp. dated March 19, 2001 </w:t>
        <w:br/>
        <w:t>(the “Side Letter Agreement”).  All provisions contained in the Side Letter Agreement govern this Confirmation except as expressly modified below.</w:t>
        <w:br/>
      </w:r>
    </w:p>
    <w:p>
      <w:pPr>
        <w:pStyle w:val="Normal"/>
        <w:numPr>
          <w:ilvl w:val="0"/>
          <w:numId w:val="2"/>
        </w:numPr>
        <w:tabs>
          <w:tab w:val="clear" w:pos="720"/>
          <w:tab w:val="left" w:pos="1080" w:leader="none"/>
        </w:tabs>
        <w:ind w:hanging="360" w:start="1080" w:end="0"/>
        <w:rPr>
          <w:sz w:val="22"/>
        </w:rPr>
      </w:pPr>
      <w:r>
        <w:rPr>
          <w:sz w:val="22"/>
        </w:rPr>
        <w:t>The parties acknowledge and reaffirm their intention to negotiate, execute and deliver an ISDA Master Agreement as more fully set forth in the Side Letter Agreement.</w:t>
        <w:br/>
      </w:r>
    </w:p>
    <w:p>
      <w:pPr>
        <w:pStyle w:val="Normal"/>
        <w:numPr>
          <w:ilvl w:val="0"/>
          <w:numId w:val="2"/>
        </w:numPr>
        <w:tabs>
          <w:tab w:val="clear" w:pos="720"/>
          <w:tab w:val="left" w:pos="1080" w:leader="none"/>
        </w:tabs>
        <w:ind w:hanging="360" w:start="1080" w:end="0"/>
        <w:jc w:val="both"/>
        <w:rPr>
          <w:sz w:val="22"/>
        </w:rPr>
      </w:pPr>
      <w:r>
        <w:rPr>
          <w:sz w:val="22"/>
        </w:rPr>
        <w:t>The terms of the particular Transaction to which this Confirmation relates are as follows:</w:t>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fldChar w:fldCharType="begin"/>
            </w:r>
            <w:r>
              <w:rPr>
                <w:sz w:val="22"/>
              </w:rPr>
              <w:instrText xml:space="preserve"> MERGEFIELD QuantityPerHour </w:instrText>
            </w:r>
            <w:r>
              <w:rPr>
                <w:sz w:val="22"/>
              </w:rPr>
              <w:fldChar w:fldCharType="separate"/>
            </w:r>
            <w:r>
              <w:rPr>
                <w:sz w:val="22"/>
              </w:rPr>
              <w:t>50</w:t>
            </w:r>
            <w:r>
              <w:rPr>
                <w:sz w:val="22"/>
              </w:rPr>
              <w:fldChar w:fldCharType="end"/>
            </w:r>
            <w:r>
              <w:rPr>
                <w:sz w:val="22"/>
              </w:rPr>
              <w:t xml:space="preserve"> </w:t>
            </w:r>
            <w:r>
              <w:rPr>
                <w:sz w:val="22"/>
              </w:rPr>
              <w:t>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September 28,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September 28,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fldChar w:fldCharType="begin"/>
            </w:r>
            <w:r>
              <w:rPr>
                <w:sz w:val="22"/>
              </w:rPr>
              <w:instrText xml:space="preserve"> MERGEFIELD Term </w:instrText>
            </w:r>
            <w:r>
              <w:rPr>
                <w:sz w:val="22"/>
              </w:rPr>
              <w:fldChar w:fldCharType="separate"/>
            </w:r>
            <w:r>
              <w:rPr>
                <w:sz w:val="22"/>
              </w:rPr>
              <w:t xml:space="preserve">Friday, September 28, 2001. </w:t>
              <w:t xml:space="preserve">Hour Ending (HE) 1400 through HE 2300 (10 Hours); </w:t>
              <w:t xml:space="preserve">Eastern Prevailing Time. </w:t>
            </w:r>
            <w:r>
              <w:rPr>
                <w:sz w:val="22"/>
              </w:rPr>
              <w:fldChar w:fldCharType="end"/>
            </w:r>
            <w:r>
              <w:rPr>
                <w:sz w:val="22"/>
              </w:rPr>
              <w:t xml:space="preserve"> </w:t>
            </w:r>
          </w:p>
        </w:tc>
      </w:tr>
    </w:tbl>
    <w:p>
      <w:pPr>
        <w:pStyle w:val="Normal"/>
        <w:ind w:firstLine="720" w:end="-270"/>
        <w:rPr>
          <w:sz w:val="22"/>
        </w:rPr>
      </w:pPr>
      <w:r>
        <w:rPr>
          <w:sz w:val="22"/>
        </w:rPr>
      </w:r>
    </w:p>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$20.00/MWh.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rPr>
                <w:sz w:val="22"/>
              </w:rPr>
            </w:pPr>
            <w:r>
              <w:rPr>
                <w:sz w:val="22"/>
              </w:rPr>
            </w:r>
          </w:p>
          <w:p>
            <w:pPr>
              <w:pStyle w:val="Normal"/>
              <w:rPr>
                <w:sz w:val="22"/>
              </w:rPr>
            </w:pPr>
            <w:r>
              <w:rPr>
                <w:sz w:val="22"/>
              </w:rPr>
              <w:fldChar w:fldCharType="begin"/>
            </w:r>
            <w:r>
              <w:rPr>
                <w:sz w:val="22"/>
              </w:rPr>
              <w:instrText xml:space="preserve"> MERGEFIELD FloatPrice </w:instrText>
            </w:r>
            <w:r>
              <w:rPr>
                <w:sz w:val="22"/>
              </w:rPr>
              <w:fldChar w:fldCharType="separate"/>
            </w:r>
            <w:r>
              <w:rPr>
                <w:sz w:val="22"/>
              </w:rPr>
              <w:t>The hourly-weighted average of the hourly  prices as published by PJM Interconnection, LLC (“PJM”) on PJM’s official web site currently located at ftp://www.pjm.com/pub/account/lmp/index.html, or any successor thereto, under the headings “PJM - Daily Real-Time Locational Marginal Pricing Files; Western Hub” for electricity delivered during the applicable hours for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Side Letter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795829.01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Allegheny Energy Supply Company, LLC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795829.01</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2001-10-08T14:51:00Z</dcterms:created>
  <dc:creator>EOL#</dc:creator>
  <dc:description/>
  <dc:language>en-CA</dc:language>
  <cp:lastModifiedBy>khundl</cp:lastModifiedBy>
  <dcterms:modified xsi:type="dcterms:W3CDTF">2001-10-08T14:51:00Z</dcterms:modified>
  <cp:revision>2</cp:revision>
  <dc:subject/>
  <dc:title>795829.01</dc:title>
</cp:coreProperties>
</file>