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jc w:val="center"/>
        <w:rPr>
          <w:sz w:val="24"/>
        </w:rPr>
      </w:pPr>
      <w:r>
        <w:rPr>
          <w:sz w:val="24"/>
        </w:rPr>
        <w:t>Power/Gas Originations</w:t>
      </w:r>
    </w:p>
    <w:p>
      <w:pPr>
        <w:pStyle w:val="Heading4"/>
        <w:ind w:hanging="0" w:start="0"/>
        <w:jc w:val="center"/>
        <w:rPr/>
      </w:pPr>
      <w:r>
        <w:rPr/>
        <w:t>Business Risk Management (BRM) Project Reporting Format</w:t>
      </w:r>
    </w:p>
    <w:p>
      <w:pPr>
        <w:pStyle w:val="Normal"/>
        <w:jc w:val="center"/>
        <w:rPr/>
      </w:pPr>
      <w:r>
        <w:rPr/>
      </w:r>
    </w:p>
    <w:p>
      <w:pPr>
        <w:pStyle w:val="Normal"/>
        <w:rPr/>
      </w:pPr>
      <w:r>
        <w:rPr>
          <w:rFonts w:eastAsia="Book Antiqua"/>
        </w:rPr>
        <w:t xml:space="preserve">          </w:t>
      </w:r>
      <w:r>
        <w:rPr>
          <w:color w:val="FF0000"/>
          <w:sz w:val="32"/>
        </w:rPr>
        <w:t>DRAFT</w:t>
      </w:r>
    </w:p>
    <w:p>
      <w:pPr>
        <w:pStyle w:val="Normal"/>
        <w:rPr>
          <w:color w:val="FF0000"/>
          <w:sz w:val="32"/>
        </w:rPr>
      </w:pPr>
      <w:r>
        <w:rPr>
          <w:color w:val="FF0000"/>
          <w:sz w:val="32"/>
        </w:rPr>
      </w:r>
    </w:p>
    <w:tbl>
      <w:tblPr>
        <w:tblW w:w="18918" w:type="dxa"/>
        <w:jc w:val="start"/>
        <w:tblInd w:w="0" w:type="dxa"/>
        <w:tblLayout w:type="fixed"/>
        <w:tblCellMar>
          <w:top w:w="0" w:type="dxa"/>
          <w:start w:w="108" w:type="dxa"/>
          <w:bottom w:w="0" w:type="dxa"/>
          <w:end w:w="108" w:type="dxa"/>
        </w:tblCellMar>
      </w:tblPr>
      <w:tblGrid>
        <w:gridCol w:w="18918"/>
      </w:tblGrid>
      <w:tr>
        <w:trPr/>
        <w:tc>
          <w:tcPr>
            <w:tcW w:w="18918" w:type="dxa"/>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918"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Our review was designed to identify and test key policies, procedures, and controls to determine timely and effective review and approval of originated transactions.</w:t>
            </w:r>
          </w:p>
          <w:p>
            <w:pPr>
              <w:pStyle w:val="Normal"/>
              <w:rPr>
                <w:color w:val="000000"/>
                <w:sz w:val="18"/>
              </w:rPr>
            </w:pPr>
            <w:r>
              <w:rPr>
                <w:color w:val="000000"/>
                <w:sz w:val="18"/>
              </w:rPr>
            </w:r>
          </w:p>
        </w:tc>
      </w:tr>
    </w:tbl>
    <w:p>
      <w:pPr>
        <w:pStyle w:val="Footer"/>
        <w:tabs>
          <w:tab w:val="clear" w:pos="4320"/>
          <w:tab w:val="clear" w:pos="8640"/>
        </w:tabs>
        <w:rPr/>
      </w:pPr>
      <w:r>
        <w:rPr/>
      </w:r>
    </w:p>
    <w:tbl>
      <w:tblPr>
        <w:tblW w:w="18918" w:type="dxa"/>
        <w:jc w:val="start"/>
        <w:tblInd w:w="0" w:type="dxa"/>
        <w:tblLayout w:type="fixed"/>
        <w:tblCellMar>
          <w:top w:w="0" w:type="dxa"/>
          <w:start w:w="108" w:type="dxa"/>
          <w:bottom w:w="0" w:type="dxa"/>
          <w:end w:w="108" w:type="dxa"/>
        </w:tblCellMar>
      </w:tblPr>
      <w:tblGrid>
        <w:gridCol w:w="1548"/>
        <w:gridCol w:w="1530"/>
        <w:gridCol w:w="1586"/>
        <w:gridCol w:w="2880"/>
        <w:gridCol w:w="1350"/>
        <w:gridCol w:w="2970"/>
        <w:gridCol w:w="3240"/>
        <w:gridCol w:w="3814"/>
      </w:tblGrid>
      <w:tr>
        <w:trPr>
          <w:tblHeader w:val="true"/>
        </w:trPr>
        <w:tc>
          <w:tcPr>
            <w:tcW w:w="1548"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Project Name</w:t>
            </w:r>
          </w:p>
        </w:tc>
        <w:tc>
          <w:tcPr>
            <w:tcW w:w="1530"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Risk Area</w:t>
            </w:r>
          </w:p>
        </w:tc>
        <w:tc>
          <w:tcPr>
            <w:tcW w:w="1586"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Target Activity</w:t>
            </w:r>
          </w:p>
        </w:tc>
        <w:tc>
          <w:tcPr>
            <w:tcW w:w="2880" w:type="dxa"/>
            <w:tcBorders>
              <w:top w:val="single" w:sz="6" w:space="0" w:color="000000"/>
              <w:start w:val="single" w:sz="6" w:space="0" w:color="000000"/>
              <w:bottom w:val="single" w:sz="6" w:space="0" w:color="000000"/>
              <w:end w:val="single" w:sz="6" w:space="0" w:color="000000"/>
            </w:tcBorders>
            <w:shd w:fill="FF0000" w:val="clear"/>
          </w:tcPr>
          <w:p>
            <w:pPr>
              <w:pStyle w:val="Heading5"/>
              <w:widowControl/>
              <w:ind w:hanging="0" w:start="0"/>
              <w:jc w:val="center"/>
              <w:rPr>
                <w:i w:val="false"/>
                <w:i w:val="false"/>
                <w:sz w:val="24"/>
              </w:rPr>
            </w:pPr>
            <w:r>
              <w:rPr>
                <w:i w:val="false"/>
                <w:sz w:val="24"/>
              </w:rPr>
              <w:t>Specific Risk Objective</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Heading5"/>
              <w:widowControl/>
              <w:ind w:hanging="0" w:start="0"/>
              <w:jc w:val="center"/>
              <w:rPr>
                <w:i w:val="false"/>
                <w:i w:val="false"/>
                <w:sz w:val="24"/>
              </w:rPr>
            </w:pPr>
            <w:r>
              <w:rPr>
                <w:i w:val="false"/>
                <w:sz w:val="24"/>
              </w:rPr>
              <w:t>Objective Met?</w:t>
            </w:r>
          </w:p>
        </w:tc>
        <w:tc>
          <w:tcPr>
            <w:tcW w:w="2970" w:type="dxa"/>
            <w:tcBorders>
              <w:top w:val="single" w:sz="6" w:space="0" w:color="000000"/>
              <w:start w:val="single" w:sz="6" w:space="0" w:color="000000"/>
              <w:bottom w:val="single" w:sz="6" w:space="0" w:color="000000"/>
              <w:end w:val="single" w:sz="6" w:space="0" w:color="000000"/>
            </w:tcBorders>
            <w:shd w:fill="800080" w:val="clear"/>
          </w:tcPr>
          <w:p>
            <w:pPr>
              <w:pStyle w:val="Heading5"/>
              <w:widowControl/>
              <w:ind w:hanging="0" w:start="0"/>
              <w:jc w:val="center"/>
              <w:rPr>
                <w:i w:val="false"/>
                <w:i w:val="false"/>
                <w:sz w:val="24"/>
              </w:rPr>
            </w:pPr>
            <w:r>
              <w:rPr>
                <w:i w:val="false"/>
                <w:sz w:val="24"/>
              </w:rPr>
              <w:t>Existing Control(s)</w:t>
            </w:r>
          </w:p>
        </w:tc>
        <w:tc>
          <w:tcPr>
            <w:tcW w:w="3240" w:type="dxa"/>
            <w:tcBorders>
              <w:top w:val="single" w:sz="6" w:space="0" w:color="000000"/>
              <w:start w:val="single" w:sz="6" w:space="0" w:color="000000"/>
              <w:bottom w:val="single" w:sz="6" w:space="0" w:color="000000"/>
              <w:end w:val="single" w:sz="6" w:space="0" w:color="000000"/>
            </w:tcBorders>
            <w:shd w:fill="0000FF" w:val="clear"/>
          </w:tcPr>
          <w:p>
            <w:pPr>
              <w:pStyle w:val="Heading5"/>
              <w:widowControl/>
              <w:ind w:hanging="0" w:start="0"/>
              <w:jc w:val="center"/>
              <w:rPr>
                <w:i w:val="false"/>
                <w:i w:val="false"/>
                <w:sz w:val="24"/>
              </w:rPr>
            </w:pPr>
            <w:r>
              <w:rPr>
                <w:i w:val="false"/>
                <w:sz w:val="24"/>
              </w:rPr>
              <w:t>Findings</w:t>
            </w:r>
          </w:p>
        </w:tc>
        <w:tc>
          <w:tcPr>
            <w:tcW w:w="3814" w:type="dxa"/>
            <w:tcBorders>
              <w:top w:val="single" w:sz="6" w:space="0" w:color="000000"/>
              <w:start w:val="single" w:sz="6" w:space="0" w:color="000000"/>
              <w:bottom w:val="single" w:sz="6" w:space="0" w:color="000000"/>
              <w:end w:val="single" w:sz="6" w:space="0" w:color="000000"/>
            </w:tcBorders>
            <w:shd w:fill="00FFFF" w:val="clear"/>
          </w:tcPr>
          <w:p>
            <w:pPr>
              <w:pStyle w:val="Heading5"/>
              <w:ind w:hanging="0" w:start="0"/>
              <w:jc w:val="center"/>
              <w:rPr>
                <w:i w:val="false"/>
                <w:i w:val="false"/>
                <w:sz w:val="24"/>
              </w:rPr>
            </w:pPr>
            <w:r>
              <w:rPr>
                <w:i w:val="false"/>
                <w:sz w:val="24"/>
              </w:rPr>
              <w:t>Recommendation,</w:t>
            </w:r>
          </w:p>
          <w:p>
            <w:pPr>
              <w:pStyle w:val="Heading5"/>
              <w:ind w:hanging="0" w:start="0"/>
              <w:jc w:val="center"/>
              <w:rPr>
                <w:i w:val="false"/>
                <w:i w:val="false"/>
                <w:sz w:val="24"/>
              </w:rPr>
            </w:pPr>
            <w:r>
              <w:rPr>
                <w:i w:val="false"/>
                <w:sz w:val="24"/>
              </w:rPr>
              <w:t>Person &amp; Target Date</w:t>
            </w:r>
          </w:p>
        </w:tc>
      </w:tr>
      <w:tr>
        <w:trPr>
          <w:trHeight w:val="5727" w:hRule="atLeast"/>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Power/Gas Originations</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 xml:space="preserve">Authority/ Limits </w:t>
            </w:r>
          </w:p>
          <w:p>
            <w:pPr>
              <w:pStyle w:val="Normal"/>
              <w:widowControl/>
              <w:rPr>
                <w:sz w:val="18"/>
              </w:rPr>
            </w:pPr>
            <w:r>
              <w:rPr>
                <w:sz w:val="18"/>
              </w:rPr>
              <w:t>Transaction Commitments</w:t>
            </w:r>
          </w:p>
          <w:p>
            <w:pPr>
              <w:pStyle w:val="Normal"/>
              <w:widowControl/>
              <w:rPr>
                <w:sz w:val="18"/>
              </w:rPr>
            </w:pPr>
            <w:r>
              <w:rPr>
                <w:sz w:val="18"/>
              </w:rPr>
              <w:t>Trading</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Transaction Commitments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Policies and procedures are in place to ensure new transactions are reviewed and approved by the appropriate personnel.</w:t>
            </w:r>
          </w:p>
          <w:p>
            <w:pPr>
              <w:pStyle w:val="Normal"/>
              <w:widowControl/>
              <w:rPr>
                <w:sz w:val="18"/>
              </w:rPr>
            </w:pPr>
            <w:r>
              <w:rPr>
                <w:sz w:val="18"/>
              </w:rPr>
            </w:r>
          </w:p>
          <w:p>
            <w:pPr>
              <w:pStyle w:val="Normal"/>
              <w:widowControl/>
              <w:rPr>
                <w:sz w:val="18"/>
              </w:rPr>
            </w:pPr>
            <w:r>
              <w:rPr>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RAC group provides an independent review of all new transactions over predefined thresholds.</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sz w:val="18"/>
              </w:rPr>
            </w:pPr>
            <w:r>
              <w:rPr>
                <w:sz w:val="18"/>
              </w:rPr>
              <w:t>The current BOD approved policy does not clearly define the documentation and approval process for originated transactions, which may result in the misapplication of controls.  Additionally, the policy is not consistently communicated to key personnel which leads to inadequate timing to identify key transaction risks.</w:t>
            </w:r>
          </w:p>
        </w:tc>
        <w:tc>
          <w:tcPr>
            <w:tcW w:w="3814"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18"/>
              </w:rPr>
            </w:pPr>
            <w:r>
              <w:rPr>
                <w:sz w:val="18"/>
              </w:rPr>
              <w:t xml:space="preserve">Management should develop a formal written deal approval policy including approval thresholds. </w:t>
            </w:r>
          </w:p>
          <w:p>
            <w:pPr>
              <w:pStyle w:val="Normal"/>
              <w:rPr>
                <w:sz w:val="18"/>
              </w:rPr>
            </w:pPr>
            <w:r>
              <w:rPr>
                <w:sz w:val="18"/>
              </w:rPr>
            </w:r>
          </w:p>
          <w:p>
            <w:pPr>
              <w:pStyle w:val="Normal"/>
              <w:numPr>
                <w:ilvl w:val="0"/>
                <w:numId w:val="8"/>
              </w:numPr>
              <w:rPr>
                <w:sz w:val="18"/>
              </w:rPr>
            </w:pPr>
            <w:r>
              <w:rPr>
                <w:sz w:val="18"/>
              </w:rPr>
              <w:t>Develop a method of communicating the deal approval process to all functional groups on a periodic basis (i.e. quarterly deal approval process meetings).</w:t>
            </w:r>
          </w:p>
          <w:p>
            <w:pPr>
              <w:pStyle w:val="Normal"/>
              <w:rPr>
                <w:sz w:val="18"/>
              </w:rPr>
            </w:pPr>
            <w:r>
              <w:rPr>
                <w:sz w:val="18"/>
              </w:rPr>
            </w:r>
          </w:p>
          <w:p>
            <w:pPr>
              <w:pStyle w:val="Normal"/>
              <w:numPr>
                <w:ilvl w:val="0"/>
                <w:numId w:val="3"/>
              </w:numPr>
              <w:rPr>
                <w:sz w:val="18"/>
              </w:rPr>
            </w:pPr>
            <w:r>
              <w:rPr>
                <w:sz w:val="18"/>
              </w:rPr>
              <w:t>Hold periodic departmental meetings with management to discuss potential deals and the status of deals in development.</w:t>
            </w:r>
          </w:p>
          <w:p>
            <w:pPr>
              <w:pStyle w:val="Normal"/>
              <w:rPr>
                <w:sz w:val="18"/>
              </w:rPr>
            </w:pPr>
            <w:r>
              <w:rPr>
                <w:sz w:val="18"/>
              </w:rPr>
            </w:r>
          </w:p>
          <w:p>
            <w:pPr>
              <w:pStyle w:val="Normal"/>
              <w:numPr>
                <w:ilvl w:val="0"/>
                <w:numId w:val="8"/>
              </w:numPr>
              <w:rPr>
                <w:sz w:val="18"/>
              </w:rPr>
            </w:pPr>
            <w:r>
              <w:rPr>
                <w:sz w:val="18"/>
              </w:rPr>
              <w:t>Consider implementing a database to track deals so that all departments can view the deals throughout the stages of development.</w:t>
            </w:r>
          </w:p>
        </w:tc>
      </w:tr>
      <w:tr>
        <w:trPr>
          <w:trHeight w:val="1965" w:hRule="atLeast"/>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Financial Markets</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Valuation Activities</w:t>
            </w:r>
          </w:p>
        </w:tc>
        <w:tc>
          <w:tcPr>
            <w:tcW w:w="2880" w:type="dxa"/>
            <w:tcBorders>
              <w:top w:val="single" w:sz="6" w:space="0" w:color="000000"/>
              <w:start w:val="single" w:sz="6" w:space="0" w:color="000000"/>
              <w:bottom w:val="single" w:sz="6" w:space="0" w:color="000000"/>
              <w:end w:val="single" w:sz="6" w:space="0" w:color="000000"/>
            </w:tcBorders>
          </w:tcPr>
          <w:p>
            <w:pPr>
              <w:pStyle w:val="BodyText2"/>
              <w:rPr>
                <w:lang w:eastAsia="en-US"/>
              </w:rPr>
            </w:pPr>
            <w:r>
              <w:rPr>
                <w:lang w:eastAsia="en-US"/>
              </w:rPr>
              <w:t xml:space="preserve">Adequate structuring involvement occurs to accurately identify transaction risks.  </w:t>
            </w:r>
          </w:p>
          <w:p>
            <w:pPr>
              <w:pStyle w:val="Normal"/>
              <w:widowControl/>
              <w:rPr>
                <w:i/>
                <w:i/>
                <w:sz w:val="18"/>
                <w:lang w:eastAsia="en-US"/>
              </w:rPr>
            </w:pPr>
            <w:r>
              <w:rPr>
                <w:i/>
                <w:sz w:val="18"/>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Normal"/>
              <w:rPr>
                <w:i/>
                <w:i/>
                <w:sz w:val="18"/>
              </w:rPr>
            </w:pPr>
            <w:r>
              <w:rPr>
                <w:sz w:val="20"/>
              </w:rPr>
              <w:t>Structuring’s role is to serve as an independent functional group who assists in identifying, reviewing and pricing transaction risks.</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18"/>
              </w:rPr>
            </w:pPr>
            <w:r>
              <w:rPr>
                <w:sz w:val="18"/>
              </w:rPr>
              <w:t>Structuring personnel currently report to the origination function as a result of the recent reorganization of reporting responsibility.</w:t>
            </w:r>
          </w:p>
        </w:tc>
        <w:tc>
          <w:tcPr>
            <w:tcW w:w="3814"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sz w:val="18"/>
              </w:rPr>
            </w:pPr>
            <w:r>
              <w:rPr>
                <w:sz w:val="18"/>
              </w:rPr>
              <w:t xml:space="preserve">Although the role of structuring has not changed, management needs to assess the change in reporting to ensure the independent review of transaction risk by structuring personnel is effective.   </w:t>
            </w:r>
          </w:p>
        </w:tc>
      </w:tr>
      <w:tr>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Authority/</w:t>
            </w:r>
          </w:p>
          <w:p>
            <w:pPr>
              <w:pStyle w:val="Normal"/>
              <w:widowControl/>
              <w:rPr>
                <w:sz w:val="18"/>
              </w:rPr>
            </w:pPr>
            <w:r>
              <w:rPr>
                <w:sz w:val="18"/>
              </w:rPr>
              <w:t>Limits</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Transaction Commitments Trading</w:t>
            </w:r>
          </w:p>
        </w:tc>
        <w:tc>
          <w:tcPr>
            <w:tcW w:w="2880" w:type="dxa"/>
            <w:tcBorders>
              <w:top w:val="single" w:sz="6" w:space="0" w:color="000000"/>
              <w:start w:val="single" w:sz="6" w:space="0" w:color="000000"/>
              <w:bottom w:val="single" w:sz="6" w:space="0" w:color="000000"/>
              <w:end w:val="single" w:sz="6" w:space="0" w:color="000000"/>
            </w:tcBorders>
          </w:tcPr>
          <w:p>
            <w:pPr>
              <w:pStyle w:val="BodyText2"/>
              <w:rPr>
                <w:lang w:eastAsia="en-US"/>
              </w:rPr>
            </w:pPr>
            <w:r>
              <w:rPr>
                <w:lang w:eastAsia="en-US"/>
              </w:rPr>
              <w:t>Timely and effective review and approval of transactions.</w:t>
            </w:r>
          </w:p>
          <w:p>
            <w:pPr>
              <w:pStyle w:val="Normal"/>
              <w:widowControl/>
              <w:rPr>
                <w:color w:val="008000"/>
                <w:sz w:val="18"/>
                <w:lang w:eastAsia="en-US"/>
              </w:rPr>
            </w:pPr>
            <w:r>
              <w:rPr>
                <w:color w:val="008000"/>
                <w:sz w:val="18"/>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BodyText3"/>
              <w:rPr/>
            </w:pPr>
            <w:r>
              <w:rPr/>
              <w:t>An independent verification of the components of a deal is performed by the Risk Assessment and Control Group (RAC).</w:t>
            </w:r>
          </w:p>
          <w:p>
            <w:pPr>
              <w:pStyle w:val="Normal"/>
              <w:rPr>
                <w:i/>
                <w:i/>
                <w:sz w:val="18"/>
              </w:rPr>
            </w:pPr>
            <w:r>
              <w:rPr>
                <w:i/>
                <w:sz w:val="18"/>
              </w:rPr>
            </w:r>
          </w:p>
          <w:p>
            <w:pPr>
              <w:pStyle w:val="Normal"/>
              <w:rPr>
                <w:sz w:val="18"/>
              </w:rPr>
            </w:pPr>
            <w:r>
              <w:rPr>
                <w:sz w:val="18"/>
              </w:rPr>
              <w:t xml:space="preserve">Functional groups provide expertise in specific areas of deal development.  </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6"/>
              </w:numPr>
              <w:rPr>
                <w:sz w:val="18"/>
              </w:rPr>
            </w:pPr>
            <w:r>
              <w:rPr>
                <w:sz w:val="18"/>
              </w:rPr>
              <w:t xml:space="preserve">The current deal process could allow for a deal to be developed and presented for final approval without the prior involvement of the division heads.  </w:t>
            </w:r>
          </w:p>
          <w:p>
            <w:pPr>
              <w:pStyle w:val="Normal"/>
              <w:rPr>
                <w:sz w:val="18"/>
              </w:rPr>
            </w:pPr>
            <w:r>
              <w:rPr>
                <w:sz w:val="18"/>
              </w:rPr>
            </w:r>
          </w:p>
        </w:tc>
        <w:tc>
          <w:tcPr>
            <w:tcW w:w="3814" w:type="dxa"/>
            <w:tcBorders>
              <w:top w:val="single" w:sz="6" w:space="0" w:color="000000"/>
              <w:start w:val="single" w:sz="6" w:space="0" w:color="000000"/>
              <w:bottom w:val="single" w:sz="6" w:space="0" w:color="000000"/>
              <w:end w:val="single" w:sz="6" w:space="0" w:color="000000"/>
            </w:tcBorders>
          </w:tcPr>
          <w:p>
            <w:pPr>
              <w:pStyle w:val="BodyText3"/>
              <w:numPr>
                <w:ilvl w:val="0"/>
                <w:numId w:val="9"/>
              </w:numPr>
              <w:rPr/>
            </w:pPr>
            <w:r>
              <w:rPr/>
              <w:t>Management should hold periodic departmental meetings with management to discuss potential deals and the status of deals in development.</w:t>
            </w:r>
          </w:p>
          <w:p>
            <w:pPr>
              <w:pStyle w:val="Normal"/>
              <w:rPr>
                <w:i/>
                <w:i/>
                <w:sz w:val="18"/>
              </w:rPr>
            </w:pPr>
            <w:r>
              <w:rPr>
                <w:i/>
                <w:sz w:val="18"/>
              </w:rPr>
            </w:r>
          </w:p>
          <w:p>
            <w:pPr>
              <w:pStyle w:val="Normal"/>
              <w:rPr>
                <w:i/>
                <w:i/>
                <w:sz w:val="18"/>
              </w:rPr>
            </w:pPr>
            <w:r>
              <w:rPr>
                <w:i/>
                <w:sz w:val="18"/>
              </w:rPr>
            </w:r>
          </w:p>
          <w:p>
            <w:pPr>
              <w:pStyle w:val="Normal"/>
              <w:rPr>
                <w:i/>
                <w:i/>
                <w:sz w:val="18"/>
              </w:rPr>
            </w:pPr>
            <w:r>
              <w:rPr>
                <w:i/>
                <w:sz w:val="18"/>
              </w:rPr>
            </w:r>
          </w:p>
        </w:tc>
      </w:tr>
      <w:tr>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i/>
                <w:i/>
                <w:sz w:val="18"/>
              </w:rPr>
            </w:pPr>
            <w:r>
              <w:rPr>
                <w:sz w:val="18"/>
              </w:rPr>
              <w:t>Financial Markets</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Valuation Activities</w:t>
            </w:r>
          </w:p>
        </w:tc>
        <w:tc>
          <w:tcPr>
            <w:tcW w:w="2880" w:type="dxa"/>
            <w:tcBorders>
              <w:top w:val="single" w:sz="6" w:space="0" w:color="000000"/>
              <w:start w:val="single" w:sz="6" w:space="0" w:color="000000"/>
              <w:bottom w:val="single" w:sz="6" w:space="0" w:color="000000"/>
              <w:end w:val="single" w:sz="6" w:space="0" w:color="000000"/>
            </w:tcBorders>
          </w:tcPr>
          <w:p>
            <w:pPr>
              <w:pStyle w:val="BodyText2"/>
              <w:rPr>
                <w:i/>
                <w:i/>
              </w:rPr>
            </w:pPr>
            <w:r>
              <w:rPr/>
              <w:t>Key personnel have experience and are qualified to make decisions concerning the development of a deal.</w:t>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BodyText3"/>
              <w:rPr/>
            </w:pPr>
            <w:r>
              <w:rPr/>
              <w:t>An independent verification of deal components is performed by the Risk Assessment and Control Group (RAC).</w:t>
            </w:r>
          </w:p>
          <w:p>
            <w:pPr>
              <w:pStyle w:val="Normal"/>
              <w:rPr>
                <w:i/>
                <w:i/>
                <w:sz w:val="18"/>
              </w:rPr>
            </w:pPr>
            <w:r>
              <w:rPr>
                <w:i/>
                <w:sz w:val="18"/>
              </w:rPr>
            </w:r>
          </w:p>
          <w:p>
            <w:pPr>
              <w:pStyle w:val="Normal"/>
              <w:rPr>
                <w:i/>
                <w:i/>
                <w:sz w:val="18"/>
              </w:rPr>
            </w:pPr>
            <w:r>
              <w:rPr>
                <w:i/>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4"/>
              </w:numPr>
              <w:rPr>
                <w:color w:val="000000"/>
                <w:sz w:val="18"/>
              </w:rPr>
            </w:pPr>
            <w:r>
              <w:rPr>
                <w:color w:val="000000"/>
                <w:sz w:val="18"/>
              </w:rPr>
              <w:t xml:space="preserve">The average length of time of experience in the structuring group is one and a half years. </w:t>
            </w:r>
          </w:p>
        </w:tc>
        <w:tc>
          <w:tcPr>
            <w:tcW w:w="3814"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color w:val="000000"/>
                <w:sz w:val="18"/>
              </w:rPr>
            </w:pPr>
            <w:r>
              <w:rPr>
                <w:color w:val="000000"/>
                <w:sz w:val="18"/>
              </w:rPr>
              <w:t xml:space="preserve">Management should closely review the work performed by inexperienced personnel.  In addition, management should monitor the development of new staff to ensure they receive sufficient training. </w:t>
            </w:r>
          </w:p>
        </w:tc>
      </w:tr>
    </w:tbl>
    <w:p>
      <w:pPr>
        <w:pStyle w:val="Footer"/>
        <w:widowControl/>
        <w:tabs>
          <w:tab w:val="clear" w:pos="4320"/>
          <w:tab w:val="clear" w:pos="8640"/>
          <w:tab w:val="left" w:pos="2520" w:leader="none"/>
          <w:tab w:val="left" w:pos="2700" w:leader="none"/>
        </w:tabs>
        <w:rPr/>
      </w:pPr>
      <w:r>
        <w:rPr/>
      </w:r>
    </w:p>
    <w:sectPr>
      <w:headerReference w:type="default" r:id="rId2"/>
      <w:headerReference w:type="first" r:id="rId3"/>
      <w:footerReference w:type="default" r:id="rId4"/>
      <w:footerReference w:type="first" r:id="rId5"/>
      <w:type w:val="nextPage"/>
      <w:pgSz w:orient="landscape" w:w="2016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sz w:val="8"/>
      </w:rPr>
    </w:pPr>
    <w:r>
      <w:rPr>
        <w:sz w:val="8"/>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930.45pt;mso-position-horizontal:right;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t>ECT – 2000 AUDIT PLAN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3" w:hanging="283"/>
      </w:pPr>
      <w:rPr>
        <w:rFonts w:ascii="Symbol" w:hAnsi="Symbol" w:cs="Symbol" w:hint="default"/>
        <w:sz w:val="18"/>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283" w:hanging="283"/>
      </w:pPr>
      <w:rPr>
        <w:rFonts w:ascii="Symbol" w:hAnsi="Symbol" w:cs="Symbol" w:hint="default"/>
        <w:sz w:val="18"/>
        <w:color w:val="auto"/>
      </w:rPr>
    </w:lvl>
  </w:abstractNum>
  <w:abstractNum w:abstractNumId="5">
    <w:lvl w:ilvl="0">
      <w:start w:val="1"/>
      <w:numFmt w:val="bullet"/>
      <w:lvlText w:val=""/>
      <w:lvlJc w:val="start"/>
      <w:pPr>
        <w:tabs>
          <w:tab w:val="num" w:pos="360"/>
        </w:tabs>
        <w:ind w:start="283" w:hanging="283"/>
      </w:pPr>
      <w:rPr>
        <w:rFonts w:ascii="Symbol" w:hAnsi="Symbol" w:cs="Symbol" w:hint="default"/>
        <w:sz w:val="18"/>
        <w:color w:val="auto"/>
      </w:rPr>
    </w:lvl>
  </w:abstractNum>
  <w:abstractNum w:abstractNumId="6">
    <w:lvl w:ilvl="0">
      <w:start w:val="1"/>
      <w:numFmt w:val="bullet"/>
      <w:lvlText w:val=""/>
      <w:lvlJc w:val="start"/>
      <w:pPr>
        <w:tabs>
          <w:tab w:val="num" w:pos="360"/>
        </w:tabs>
        <w:ind w:start="283" w:hanging="283"/>
      </w:pPr>
      <w:rPr>
        <w:rFonts w:ascii="Symbol" w:hAnsi="Symbol" w:cs="Symbol" w:hint="default"/>
        <w:sz w:val="18"/>
        <w:color w:val="auto"/>
      </w:rPr>
    </w:lvl>
  </w:abstractNum>
  <w:abstractNum w:abstractNumId="7">
    <w:lvl w:ilvl="0">
      <w:start w:val="1"/>
      <w:numFmt w:val="bullet"/>
      <w:lvlText w:val=""/>
      <w:lvlJc w:val="start"/>
      <w:pPr>
        <w:tabs>
          <w:tab w:val="num" w:pos="360"/>
        </w:tabs>
        <w:ind w:start="283" w:hanging="283"/>
      </w:pPr>
      <w:rPr>
        <w:rFonts w:ascii="Symbol" w:hAnsi="Symbol" w:cs="Symbol" w:hint="default"/>
        <w:sz w:val="18"/>
        <w:color w:val="auto"/>
      </w:rPr>
    </w:lvl>
  </w:abstractNum>
  <w:abstractNum w:abstractNumId="8">
    <w:lvl w:ilvl="0">
      <w:start w:val="1"/>
      <w:numFmt w:val="bullet"/>
      <w:lvlText w:val=""/>
      <w:lvlJc w:val="start"/>
      <w:pPr>
        <w:tabs>
          <w:tab w:val="num" w:pos="283"/>
        </w:tabs>
        <w:ind w:start="283" w:hanging="283"/>
      </w:pPr>
      <w:rPr>
        <w:rFonts w:ascii="Symbol" w:hAnsi="Symbol" w:cs="Symbol" w:hint="default"/>
      </w:rPr>
    </w:lvl>
  </w:abstractNum>
  <w:abstractNum w:abstractNumId="9">
    <w:lvl w:ilvl="0">
      <w:start w:val="1"/>
      <w:numFmt w:val="bullet"/>
      <w:lvlText w:val=""/>
      <w:lvlJc w:val="start"/>
      <w:pPr>
        <w:tabs>
          <w:tab w:val="num" w:pos="360"/>
        </w:tabs>
        <w:ind w:start="283" w:hanging="283"/>
      </w:pPr>
      <w:rPr>
        <w:rFonts w:ascii="Symbol" w:hAnsi="Symbol" w:cs="Symbol" w:hint="default"/>
        <w:sz w:val="1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Book Antiqua" w:hAnsi="Book Antiqua" w:eastAsia="Times New Roman" w:cs="Book Antiqua"/>
      <w:color w:val="auto"/>
      <w:sz w:val="22"/>
      <w:szCs w:val="20"/>
      <w:lang w:val="en-US" w:eastAsia="en-US"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0" w:start="720" w:end="0"/>
      <w:outlineLvl w:val="2"/>
    </w:pPr>
    <w:rPr>
      <w:i/>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ind w:firstLine="720" w:start="720" w:end="0"/>
      <w:outlineLvl w:val="6"/>
    </w:pPr>
    <w:rPr>
      <w:i/>
      <w:sz w:val="20"/>
    </w:rPr>
  </w:style>
  <w:style w:type="paragraph" w:styleId="Heading8">
    <w:name w:val="heading 8"/>
    <w:basedOn w:val="Normal"/>
    <w:next w:val="Normal"/>
    <w:qFormat/>
    <w:pPr>
      <w:keepNext w:val="true"/>
      <w:numPr>
        <w:ilvl w:val="7"/>
        <w:numId w:val="1"/>
      </w:numPr>
      <w:tabs>
        <w:tab w:val="clear" w:pos="720"/>
        <w:tab w:val="left" w:pos="2160" w:leader="none"/>
      </w:tabs>
      <w:ind w:hanging="0" w:start="1440" w:end="0"/>
      <w:outlineLvl w:val="7"/>
    </w:pPr>
    <w:rPr>
      <w:i/>
      <w:sz w:val="20"/>
    </w:rPr>
  </w:style>
  <w:style w:type="paragraph" w:styleId="Heading9">
    <w:name w:val="heading 9"/>
    <w:basedOn w:val="Normal"/>
    <w:next w:val="Normal"/>
    <w:qFormat/>
    <w:pPr>
      <w:keepNext w:val="true"/>
      <w:numPr>
        <w:ilvl w:val="8"/>
        <w:numId w:val="1"/>
      </w:numPr>
      <w:ind w:firstLine="360" w:start="1080" w:end="0"/>
      <w:outlineLvl w:val="8"/>
    </w:pPr>
    <w:rPr>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sz w:val="18"/>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sz w:val="1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sz w:val="18"/>
    </w:rPr>
  </w:style>
  <w:style w:type="character" w:styleId="WW8Num24z0">
    <w:name w:val="WW8Num24z0"/>
    <w:qFormat/>
    <w:rPr>
      <w:rFonts w:ascii="Symbol" w:hAnsi="Symbol" w:cs="Symbol"/>
      <w:color w:val="auto"/>
      <w:sz w:val="18"/>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18"/>
    </w:rPr>
  </w:style>
  <w:style w:type="character" w:styleId="WW8Num44z0">
    <w:name w:val="WW8Num44z0"/>
    <w:qFormat/>
    <w:rPr>
      <w:rFonts w:ascii="Symbol" w:hAnsi="Symbol" w:cs="Symbol"/>
    </w:rPr>
  </w:style>
  <w:style w:type="character" w:styleId="WW8Num45z0">
    <w:name w:val="WW8Num45z0"/>
    <w:qFormat/>
    <w:rPr>
      <w:rFonts w:ascii="Times New Roman" w:hAnsi="Times New Roman" w:cs="Times New Roman"/>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1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sz w:val="18"/>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sz w:val="18"/>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St2z0">
    <w:name w:val="WW8NumSt2z0"/>
    <w:qFormat/>
    <w:rPr>
      <w:rFonts w:ascii="Book Antiqua" w:hAnsi="Book Antiqua" w:cs="Book Antiqua"/>
      <w:sz w:val="18"/>
    </w:rPr>
  </w:style>
  <w:style w:type="character" w:styleId="WW8NumSt55z0">
    <w:name w:val="WW8NumSt55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rPr>
      <w:sz w:val="18"/>
    </w:rPr>
  </w:style>
  <w:style w:type="paragraph" w:styleId="BodyText2">
    <w:name w:val="Body Text 2"/>
    <w:basedOn w:val="Normal"/>
    <w:qFormat/>
    <w:pPr>
      <w:widowControl/>
    </w:pPr>
    <w:rPr>
      <w:sz w:val="18"/>
      <w:lang w:eastAsia="en-CA"/>
    </w:rPr>
  </w:style>
  <w:style w:type="paragraph" w:styleId="BodyText3">
    <w:name w:val="Body Text 3"/>
    <w:basedOn w:val="Normal"/>
    <w:qFormat/>
    <w:pPr/>
    <w:rPr>
      <w:color w:val="00000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2000-08-30T18:12:00Z</dcterms:created>
  <dc:creator>CASEY EVANS</dc:creator>
  <dc:description/>
  <dc:language>en-CA</dc:language>
  <cp:lastModifiedBy>Arthur Andersen</cp:lastModifiedBy>
  <cp:lastPrinted>2000-08-31T13:16:00Z</cp:lastPrinted>
  <dcterms:modified xsi:type="dcterms:W3CDTF">2000-09-05T11:04:00Z</dcterms:modified>
  <cp:revision>14</cp:revision>
  <dc:subject/>
  <dc:title>A</dc:title>
</cp:coreProperties>
</file>